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ind w:left="345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4.25pt;height:17.25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3"/>
                    <w:ind w:left="2776" w:right="2776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INFORMATION - EPILEPSIE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rPr>
          <w:rFonts w:ascii="Times New Roman"/>
        </w:rPr>
      </w:pPr>
    </w:p>
    <w:p>
      <w:pPr>
        <w:spacing w:before="196"/>
        <w:ind w:left="403" w:right="0" w:firstLine="0"/>
        <w:jc w:val="left"/>
        <w:rPr>
          <w:sz w:val="22"/>
        </w:rPr>
      </w:pPr>
      <w:r>
        <w:rPr>
          <w:color w:val="231F20"/>
          <w:sz w:val="22"/>
        </w:rPr>
        <w:t>La personne a-t-elle des crises d’épilepsie convulsives ?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185" w:after="0"/>
        <w:ind w:left="1049" w:right="0" w:hanging="318"/>
        <w:jc w:val="left"/>
        <w:rPr>
          <w:b w:val="0"/>
          <w:color w:val="231F20"/>
        </w:rPr>
      </w:pPr>
      <w:r>
        <w:rPr>
          <w:color w:val="231F20"/>
        </w:rPr>
        <w:t>Symptômes </w:t>
      </w:r>
      <w:r>
        <w:rPr>
          <w:b w:val="0"/>
          <w:color w:val="231F20"/>
        </w:rPr>
        <w:t>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0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Perte de connaissance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39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Raideur/rigidité pendant plus de 1-2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minutes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38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Convulsions pendant 1-2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minutes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38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Morsure de la langue ou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blessure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41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Pertes d’urine et/ou 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selles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80" w:lineRule="auto" w:before="36" w:after="0"/>
        <w:ind w:left="1061" w:right="240" w:hanging="329"/>
        <w:jc w:val="left"/>
        <w:rPr>
          <w:sz w:val="20"/>
        </w:rPr>
      </w:pPr>
      <w:r>
        <w:rPr>
          <w:color w:val="231F20"/>
          <w:sz w:val="20"/>
        </w:rPr>
        <w:t>Après la crise : fatigue, somnolence, endormissement, confusion, comportement anormal, céphalées ou douleurs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musculaires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49" w:right="0" w:hanging="318"/>
        <w:jc w:val="left"/>
        <w:rPr>
          <w:color w:val="231F20"/>
        </w:rPr>
      </w:pPr>
      <w:r>
        <w:rPr>
          <w:color w:val="231F20"/>
        </w:rPr>
        <w:t>Education à la maladie :</w:t>
      </w:r>
      <w:r>
        <w:rPr>
          <w:color w:val="231F20"/>
          <w:spacing w:val="-8"/>
        </w:rPr>
        <w:t> </w:t>
      </w:r>
      <w:r>
        <w:rPr>
          <w:color w:val="231F20"/>
        </w:rPr>
        <w:t>expliquer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403" w:right="0" w:firstLine="0"/>
        <w:jc w:val="left"/>
        <w:rPr>
          <w:sz w:val="20"/>
        </w:rPr>
      </w:pPr>
      <w:r>
        <w:rPr>
          <w:color w:val="231F20"/>
          <w:sz w:val="20"/>
        </w:rPr>
        <w:t>Ce qu’est </w:t>
      </w:r>
      <w:r>
        <w:rPr>
          <w:b/>
          <w:color w:val="231F20"/>
          <w:sz w:val="20"/>
        </w:rPr>
        <w:t>une crise/épilepsie </w:t>
      </w:r>
      <w:r>
        <w:rPr>
          <w:color w:val="231F20"/>
          <w:sz w:val="20"/>
        </w:rPr>
        <w:t>: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92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Une crise est causée par un problème au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cerveau.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41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L’épilepsie est une maladie qui se manifeste par des crises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répétées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38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Elle n’est pas contagieuse et n’est pas transmise par les esprits et la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sorcellerie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ind w:left="403" w:firstLine="0"/>
      </w:pPr>
      <w:r>
        <w:rPr>
          <w:color w:val="231F20"/>
        </w:rPr>
        <w:t>Comment se déroule une crise et les causes possibles :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94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C’est une affection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chronique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39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Les crises peuvent être contrôlées dans les 2/3 des cas par les médicaments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38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Le malade peut alors avoir une vie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normale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40" w:lineRule="auto" w:before="41" w:after="0"/>
        <w:ind w:left="1049" w:right="0" w:hanging="318"/>
        <w:jc w:val="left"/>
        <w:rPr>
          <w:sz w:val="20"/>
        </w:rPr>
      </w:pPr>
      <w:r>
        <w:rPr>
          <w:color w:val="231F20"/>
          <w:sz w:val="20"/>
        </w:rPr>
        <w:t>Il est possible qu’il n’ait pas besoin de médicaments toute sa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vie.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49" w:right="0" w:hanging="318"/>
        <w:jc w:val="left"/>
        <w:rPr>
          <w:color w:val="231F20"/>
        </w:rPr>
      </w:pPr>
      <w:r>
        <w:rPr>
          <w:color w:val="231F20"/>
        </w:rPr>
        <w:t>Prise en charge des</w:t>
      </w:r>
      <w:r>
        <w:rPr>
          <w:color w:val="231F20"/>
          <w:spacing w:val="4"/>
        </w:rPr>
        <w:t> </w:t>
      </w:r>
      <w:r>
        <w:rPr>
          <w:color w:val="231F20"/>
        </w:rPr>
        <w:t>cas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0" w:after="0"/>
        <w:ind w:left="1390" w:right="0" w:hanging="330"/>
        <w:jc w:val="left"/>
        <w:rPr>
          <w:b/>
          <w:sz w:val="20"/>
        </w:rPr>
      </w:pPr>
      <w:r>
        <w:rPr>
          <w:b/>
          <w:color w:val="231F20"/>
          <w:sz w:val="20"/>
        </w:rPr>
        <w:t>Mesures à prendre pendant les crises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convulsives</w:t>
      </w:r>
    </w:p>
    <w:p>
      <w:pPr>
        <w:pStyle w:val="BodyText"/>
        <w:spacing w:before="34"/>
        <w:ind w:left="1390"/>
      </w:pPr>
      <w:r>
        <w:rPr>
          <w:color w:val="231F20"/>
        </w:rPr>
        <w:t>Ne pas immobiliser le sujet</w:t>
      </w:r>
    </w:p>
    <w:p>
      <w:pPr>
        <w:pStyle w:val="BodyText"/>
        <w:spacing w:line="276" w:lineRule="auto" w:before="39"/>
        <w:ind w:left="1390"/>
      </w:pPr>
      <w:r>
        <w:rPr>
          <w:color w:val="231F20"/>
        </w:rPr>
        <w:t>Eloigner de la personne de tout ce qui pourrait faire obstacle ou causer une blessure N’insérer rien dans sa bouche</w:t>
      </w:r>
    </w:p>
    <w:p>
      <w:pPr>
        <w:pStyle w:val="BodyText"/>
        <w:ind w:left="1390"/>
      </w:pPr>
      <w:r>
        <w:rPr>
          <w:color w:val="231F20"/>
        </w:rPr>
        <w:t>Dénouer sa cravate ou desserrer son col, selon le cas</w:t>
      </w:r>
    </w:p>
    <w:p>
      <w:pPr>
        <w:pStyle w:val="BodyText"/>
        <w:spacing w:line="278" w:lineRule="auto" w:before="36"/>
        <w:ind w:left="1390" w:right="43"/>
      </w:pPr>
      <w:r>
        <w:rPr>
          <w:color w:val="231F20"/>
        </w:rPr>
        <w:t>Une fois la crise terminée, placer un coussin ou un vêtement replié sous sa tête et tournez doucement la tête sur le côté.</w:t>
      </w:r>
    </w:p>
    <w:p>
      <w:pPr>
        <w:pStyle w:val="BodyText"/>
        <w:spacing w:line="228" w:lineRule="exact"/>
        <w:ind w:left="1390"/>
      </w:pPr>
      <w:r>
        <w:rPr>
          <w:color w:val="231F20"/>
        </w:rPr>
        <w:t>Assurez-vous qu’elle respire facilement et laisser la personne se reposer.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391" w:val="left" w:leader="none"/>
        </w:tabs>
        <w:spacing w:line="276" w:lineRule="auto" w:before="1" w:after="0"/>
        <w:ind w:left="1390" w:right="147" w:hanging="329"/>
        <w:jc w:val="both"/>
        <w:rPr>
          <w:sz w:val="20"/>
        </w:rPr>
      </w:pPr>
      <w:r>
        <w:rPr>
          <w:b/>
          <w:color w:val="231F20"/>
          <w:spacing w:val="-3"/>
          <w:sz w:val="20"/>
        </w:rPr>
        <w:t>Au </w:t>
      </w:r>
      <w:r>
        <w:rPr>
          <w:b/>
          <w:color w:val="231F20"/>
          <w:sz w:val="20"/>
        </w:rPr>
        <w:t>CDS puis à domicile</w:t>
      </w:r>
      <w:r>
        <w:rPr>
          <w:color w:val="231F20"/>
          <w:sz w:val="20"/>
        </w:rPr>
        <w:t>, l’administration d’un seul médicament anticonvulsivant (au CDS 1 ampoule de Diazépam 10 mg en IM, puis phénobarbital cp 100 mg : 1cp/jr à domicile) suffit pour faire cesser les crises ou de réduire le nombre de ces crises et leur intensité.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389" w:val="left" w:leader="none"/>
        </w:tabs>
        <w:spacing w:line="276" w:lineRule="auto" w:before="0" w:after="0"/>
        <w:ind w:left="1388" w:right="147" w:hanging="327"/>
        <w:jc w:val="both"/>
        <w:rPr>
          <w:sz w:val="20"/>
        </w:rPr>
      </w:pPr>
      <w:r>
        <w:rPr>
          <w:b/>
          <w:color w:val="231F20"/>
          <w:sz w:val="20"/>
        </w:rPr>
        <w:t>Référer à l’hôpital de district </w:t>
      </w:r>
      <w:r>
        <w:rPr>
          <w:color w:val="231F20"/>
          <w:sz w:val="20"/>
        </w:rPr>
        <w:t>en cas de crise qui dure plus de 5 minutes, apparition d’une nouvelle crise immédiatement après la première et perte de conscience persistante quelques minutes après la fin de la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crise</w:t>
      </w:r>
    </w:p>
    <w:p>
      <w:pPr>
        <w:pStyle w:val="BodyText"/>
        <w:ind w:left="1390"/>
      </w:pPr>
      <w:r>
        <w:rPr>
          <w:color w:val="231F20"/>
          <w:w w:val="101"/>
        </w:rPr>
        <w:t>.</w:t>
      </w:r>
    </w:p>
    <w:p>
      <w:pPr>
        <w:spacing w:before="30"/>
        <w:ind w:left="4684" w:right="4436" w:firstLine="0"/>
        <w:jc w:val="center"/>
        <w:rPr>
          <w:rFonts w:ascii="Times New Roman"/>
          <w:sz w:val="18"/>
        </w:rPr>
      </w:pPr>
      <w:r>
        <w:rPr>
          <w:rFonts w:ascii="Times New Roman"/>
          <w:color w:val="231F20"/>
          <w:sz w:val="18"/>
        </w:rPr>
        <w:t>70</w:t>
      </w:r>
    </w:p>
    <w:sectPr>
      <w:type w:val="continuous"/>
      <w:pgSz w:w="11900" w:h="16840"/>
      <w:pgMar w:top="1600" w:bottom="28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−"/>
      <w:lvlJc w:val="left"/>
      <w:pPr>
        <w:ind w:left="1061" w:hanging="318"/>
      </w:pPr>
      <w:rPr>
        <w:rFonts w:hint="default" w:ascii="Calibri" w:hAnsi="Calibri" w:eastAsia="Calibri" w:cs="Calibri"/>
        <w:color w:val="231F20"/>
        <w:w w:val="61"/>
        <w:sz w:val="20"/>
        <w:szCs w:val="20"/>
      </w:rPr>
    </w:lvl>
    <w:lvl w:ilvl="1">
      <w:start w:val="0"/>
      <w:numFmt w:val="bullet"/>
      <w:lvlText w:val="•"/>
      <w:lvlJc w:val="left"/>
      <w:pPr>
        <w:ind w:left="1888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4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8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6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3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49" w:hanging="318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"/>
      <w:lvlJc w:val="left"/>
      <w:pPr>
        <w:ind w:left="1390" w:hanging="329"/>
      </w:pPr>
      <w:rPr>
        <w:rFonts w:hint="default" w:ascii="Symbol" w:hAnsi="Symbol" w:eastAsia="Symbol" w:cs="Symbol"/>
        <w:color w:val="231F2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28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5" w:hanging="32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9" w:hanging="318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049" w:hanging="31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2020-02-25T15:28:13Z</dcterms:created>
  <dcterms:modified xsi:type="dcterms:W3CDTF">2020-02-25T15:28:13Z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