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7"/>
        <w:rPr>
          <w:rFonts w:ascii="Times New Roman"/>
          <w:sz w:val="13"/>
        </w:rPr>
      </w:pPr>
    </w:p>
    <w:p>
      <w:pPr>
        <w:pStyle w:val="BodyText"/>
        <w:ind w:left="345"/>
        <w:rPr>
          <w:rFonts w:ascii="Times New Roman"/>
        </w:rPr>
      </w:pPr>
      <w:r>
        <w:rPr>
          <w:rFonts w:ascii="Times New Roman"/>
          <w:position w:val="0"/>
        </w:rPr>
        <w:pict>
          <v:shapetype id="_x0000_t202" o:spt="202" coordsize="21600,21600" path="m,l,21600r21600,l21600,xe">
            <v:stroke joinstyle="miter"/>
            <v:path gradientshapeok="t" o:connecttype="rect"/>
          </v:shapetype>
          <v:shape style="width:444.25pt;height:17.3pt;mso-position-horizontal-relative:char;mso-position-vertical-relative:line" type="#_x0000_t202" filled="true" fillcolor="#e6e7e8" stroked="true" strokeweight=".700313pt" strokecolor="#231f20">
            <w10:anchorlock/>
            <v:textbox inset="0,0,0,0">
              <w:txbxContent>
                <w:p>
                  <w:pPr>
                    <w:spacing w:before="24"/>
                    <w:ind w:left="2945" w:right="2941" w:firstLine="0"/>
                    <w:jc w:val="center"/>
                    <w:rPr>
                      <w:b/>
                      <w:sz w:val="25"/>
                    </w:rPr>
                  </w:pPr>
                  <w:r>
                    <w:rPr>
                      <w:b/>
                      <w:color w:val="231F20"/>
                      <w:sz w:val="25"/>
                    </w:rPr>
                    <w:t>MORSURE DE SERPENT</w:t>
                  </w:r>
                </w:p>
              </w:txbxContent>
            </v:textbox>
            <v:fill type="solid"/>
            <v:stroke dashstyle="solid"/>
          </v:shape>
        </w:pict>
      </w:r>
      <w:r>
        <w:rPr>
          <w:rFonts w:ascii="Times New Roman"/>
          <w:position w:val="0"/>
        </w:rPr>
      </w:r>
    </w:p>
    <w:p>
      <w:pPr>
        <w:pStyle w:val="BodyText"/>
        <w:spacing w:before="10"/>
        <w:rPr>
          <w:rFonts w:ascii="Times New Roman"/>
          <w:sz w:val="10"/>
        </w:rPr>
      </w:pPr>
    </w:p>
    <w:p>
      <w:pPr>
        <w:pStyle w:val="Heading1"/>
        <w:numPr>
          <w:ilvl w:val="0"/>
          <w:numId w:val="1"/>
        </w:numPr>
        <w:tabs>
          <w:tab w:pos="630" w:val="left" w:leader="none"/>
        </w:tabs>
        <w:spacing w:line="240" w:lineRule="auto" w:before="69" w:after="0"/>
        <w:ind w:left="629" w:right="0" w:hanging="227"/>
        <w:jc w:val="left"/>
      </w:pPr>
      <w:r>
        <w:rPr>
          <w:color w:val="231F20"/>
          <w:u w:val="thick" w:color="231F20"/>
        </w:rPr>
        <w:t>Définition des</w:t>
      </w:r>
      <w:r>
        <w:rPr>
          <w:color w:val="231F20"/>
          <w:spacing w:val="-2"/>
          <w:u w:val="thick" w:color="231F20"/>
        </w:rPr>
        <w:t> </w:t>
      </w:r>
      <w:r>
        <w:rPr>
          <w:color w:val="231F20"/>
          <w:u w:val="thick" w:color="231F20"/>
        </w:rPr>
        <w:t>cas</w:t>
      </w:r>
    </w:p>
    <w:p>
      <w:pPr>
        <w:pStyle w:val="ListParagraph"/>
        <w:numPr>
          <w:ilvl w:val="1"/>
          <w:numId w:val="1"/>
        </w:numPr>
        <w:tabs>
          <w:tab w:pos="859" w:val="left" w:leader="none"/>
        </w:tabs>
        <w:spacing w:line="240" w:lineRule="auto" w:before="111" w:after="0"/>
        <w:ind w:left="858" w:right="0" w:hanging="260"/>
        <w:jc w:val="left"/>
        <w:rPr>
          <w:b/>
          <w:sz w:val="20"/>
        </w:rPr>
      </w:pPr>
      <w:r>
        <w:rPr>
          <w:b/>
          <w:color w:val="231F20"/>
          <w:sz w:val="20"/>
        </w:rPr>
        <w:t>S’agit-il bien d’une morsure de serpent</w:t>
      </w:r>
      <w:r>
        <w:rPr>
          <w:b/>
          <w:color w:val="231F20"/>
          <w:spacing w:val="3"/>
          <w:sz w:val="20"/>
        </w:rPr>
        <w:t> </w:t>
      </w:r>
      <w:r>
        <w:rPr>
          <w:b/>
          <w:color w:val="231F20"/>
          <w:sz w:val="20"/>
        </w:rPr>
        <w:t>?</w:t>
      </w:r>
    </w:p>
    <w:p>
      <w:pPr>
        <w:pStyle w:val="BodyText"/>
        <w:spacing w:before="56"/>
        <w:ind w:left="921" w:right="547"/>
        <w:jc w:val="both"/>
        <w:rPr>
          <w:sz w:val="18"/>
        </w:rPr>
      </w:pPr>
      <w:r>
        <w:rPr>
          <w:color w:val="231F20"/>
        </w:rPr>
        <w:t>Interroger soigneusement sur les circonstances : a-t-on vu le serpent ? Ne s’agit-il pas d’une piqûre de scorpion, d’araignée, d’insecte ? De quel serpent s’agit-il ? </w:t>
      </w:r>
      <w:r>
        <w:rPr>
          <w:color w:val="231F20"/>
          <w:sz w:val="18"/>
        </w:rPr>
        <w:t>Y a-t-il envenimation ?</w:t>
      </w:r>
    </w:p>
    <w:p>
      <w:pPr>
        <w:pStyle w:val="ListParagraph"/>
        <w:numPr>
          <w:ilvl w:val="2"/>
          <w:numId w:val="1"/>
        </w:numPr>
        <w:tabs>
          <w:tab w:pos="1046" w:val="left" w:leader="none"/>
        </w:tabs>
        <w:spacing w:line="240" w:lineRule="auto" w:before="58" w:after="0"/>
        <w:ind w:left="1045" w:right="0" w:hanging="125"/>
        <w:jc w:val="both"/>
        <w:rPr>
          <w:sz w:val="20"/>
        </w:rPr>
      </w:pPr>
      <w:r>
        <w:rPr>
          <w:color w:val="231F20"/>
          <w:sz w:val="20"/>
        </w:rPr>
        <w:t>signes locaux : œdème, douleur,</w:t>
      </w:r>
      <w:r>
        <w:rPr>
          <w:color w:val="231F20"/>
          <w:spacing w:val="2"/>
          <w:sz w:val="20"/>
        </w:rPr>
        <w:t> </w:t>
      </w:r>
      <w:r>
        <w:rPr>
          <w:color w:val="231F20"/>
          <w:sz w:val="20"/>
        </w:rPr>
        <w:t>adénopathies</w:t>
      </w:r>
    </w:p>
    <w:p>
      <w:pPr>
        <w:pStyle w:val="ListParagraph"/>
        <w:numPr>
          <w:ilvl w:val="2"/>
          <w:numId w:val="1"/>
        </w:numPr>
        <w:tabs>
          <w:tab w:pos="1046" w:val="left" w:leader="none"/>
        </w:tabs>
        <w:spacing w:line="240" w:lineRule="auto" w:before="4" w:after="0"/>
        <w:ind w:left="1045" w:right="0" w:hanging="125"/>
        <w:jc w:val="both"/>
        <w:rPr>
          <w:sz w:val="20"/>
        </w:rPr>
      </w:pPr>
      <w:r>
        <w:rPr>
          <w:color w:val="231F20"/>
          <w:sz w:val="20"/>
        </w:rPr>
        <w:t>signes généraux : lipothymies, température, nausées,</w:t>
      </w:r>
      <w:r>
        <w:rPr>
          <w:color w:val="231F20"/>
          <w:spacing w:val="-2"/>
          <w:sz w:val="20"/>
        </w:rPr>
        <w:t> </w:t>
      </w:r>
      <w:r>
        <w:rPr>
          <w:color w:val="231F20"/>
          <w:sz w:val="20"/>
        </w:rPr>
        <w:t>vomissements</w:t>
      </w:r>
    </w:p>
    <w:p>
      <w:pPr>
        <w:pStyle w:val="Heading1"/>
        <w:numPr>
          <w:ilvl w:val="1"/>
          <w:numId w:val="1"/>
        </w:numPr>
        <w:tabs>
          <w:tab w:pos="859" w:val="left" w:leader="none"/>
        </w:tabs>
        <w:spacing w:line="240" w:lineRule="auto" w:before="109" w:after="0"/>
        <w:ind w:left="858" w:right="0" w:hanging="260"/>
        <w:jc w:val="left"/>
      </w:pPr>
      <w:r>
        <w:rPr>
          <w:color w:val="231F20"/>
        </w:rPr>
        <w:t>Y a-t-il des signes de complication</w:t>
      </w:r>
      <w:r>
        <w:rPr>
          <w:color w:val="231F20"/>
          <w:spacing w:val="-1"/>
        </w:rPr>
        <w:t> </w:t>
      </w:r>
      <w:r>
        <w:rPr>
          <w:color w:val="231F20"/>
        </w:rPr>
        <w:t>?</w:t>
      </w:r>
    </w:p>
    <w:p>
      <w:pPr>
        <w:pStyle w:val="ListParagraph"/>
        <w:numPr>
          <w:ilvl w:val="2"/>
          <w:numId w:val="1"/>
        </w:numPr>
        <w:tabs>
          <w:tab w:pos="1046" w:val="left" w:leader="none"/>
        </w:tabs>
        <w:spacing w:line="240" w:lineRule="auto" w:before="55" w:after="0"/>
        <w:ind w:left="1045" w:right="0" w:hanging="125"/>
        <w:jc w:val="both"/>
        <w:rPr>
          <w:sz w:val="20"/>
        </w:rPr>
      </w:pPr>
      <w:r>
        <w:rPr>
          <w:color w:val="231F20"/>
          <w:sz w:val="20"/>
        </w:rPr>
        <w:t>Locales : bulles séro-sanglantes, nécrose,</w:t>
      </w:r>
      <w:r>
        <w:rPr>
          <w:color w:val="231F20"/>
          <w:spacing w:val="3"/>
          <w:sz w:val="20"/>
        </w:rPr>
        <w:t> </w:t>
      </w:r>
      <w:r>
        <w:rPr>
          <w:color w:val="231F20"/>
          <w:sz w:val="20"/>
        </w:rPr>
        <w:t>surinfection.</w:t>
      </w:r>
    </w:p>
    <w:p>
      <w:pPr>
        <w:pStyle w:val="ListParagraph"/>
        <w:numPr>
          <w:ilvl w:val="2"/>
          <w:numId w:val="1"/>
        </w:numPr>
        <w:tabs>
          <w:tab w:pos="1046" w:val="left" w:leader="none"/>
        </w:tabs>
        <w:spacing w:line="240" w:lineRule="auto" w:before="38" w:after="0"/>
        <w:ind w:left="1045" w:right="0" w:hanging="125"/>
        <w:jc w:val="both"/>
        <w:rPr>
          <w:sz w:val="20"/>
        </w:rPr>
      </w:pPr>
      <w:r>
        <w:rPr>
          <w:color w:val="231F20"/>
          <w:sz w:val="20"/>
        </w:rPr>
        <w:t>Générales</w:t>
      </w:r>
      <w:r>
        <w:rPr>
          <w:color w:val="231F20"/>
          <w:spacing w:val="-3"/>
          <w:sz w:val="20"/>
        </w:rPr>
        <w:t> </w:t>
      </w:r>
      <w:r>
        <w:rPr>
          <w:color w:val="231F20"/>
          <w:sz w:val="20"/>
        </w:rPr>
        <w:t>:</w:t>
      </w:r>
    </w:p>
    <w:p>
      <w:pPr>
        <w:pStyle w:val="ListParagraph"/>
        <w:numPr>
          <w:ilvl w:val="0"/>
          <w:numId w:val="2"/>
        </w:numPr>
        <w:tabs>
          <w:tab w:pos="1431" w:val="left" w:leader="none"/>
        </w:tabs>
        <w:spacing w:line="240" w:lineRule="auto" w:before="39" w:after="0"/>
        <w:ind w:left="1390" w:right="544" w:hanging="329"/>
        <w:jc w:val="both"/>
        <w:rPr>
          <w:sz w:val="20"/>
        </w:rPr>
      </w:pPr>
      <w:r>
        <w:rPr>
          <w:color w:val="231F20"/>
          <w:sz w:val="20"/>
          <w:u w:val="single" w:color="231F20"/>
        </w:rPr>
        <w:t>Syndrome hémorragique</w:t>
      </w:r>
      <w:r>
        <w:rPr>
          <w:color w:val="231F20"/>
          <w:sz w:val="20"/>
        </w:rPr>
        <w:t> : redoutable, pouvant survenir plusieurs jours après la morsure. Etre à l’affût de tout épistaxis, hématémèse, hématurie, perte de sang par l’anus, signes d’hémorragie interne avec pouls rapide, douleurs abdominales, pâleur, baisse de tension etc. Il faut interroger et informer systématiquement le patient sur ce danger qui nécessite impérativement l’évacuation à l’hôpital de district.</w:t>
      </w:r>
    </w:p>
    <w:p>
      <w:pPr>
        <w:pStyle w:val="ListParagraph"/>
        <w:numPr>
          <w:ilvl w:val="0"/>
          <w:numId w:val="2"/>
        </w:numPr>
        <w:tabs>
          <w:tab w:pos="1403" w:val="left" w:leader="none"/>
        </w:tabs>
        <w:spacing w:line="240" w:lineRule="auto" w:before="43" w:after="0"/>
        <w:ind w:left="1390" w:right="544" w:hanging="329"/>
        <w:jc w:val="both"/>
        <w:rPr>
          <w:sz w:val="20"/>
        </w:rPr>
      </w:pPr>
      <w:r>
        <w:rPr>
          <w:color w:val="231F20"/>
          <w:sz w:val="20"/>
          <w:u w:val="single" w:color="231F20"/>
        </w:rPr>
        <w:t>Choc anaphylactique</w:t>
      </w:r>
      <w:r>
        <w:rPr>
          <w:color w:val="231F20"/>
          <w:sz w:val="20"/>
        </w:rPr>
        <w:t> : survenant dans les minutes ou les heures suivant l’envenimation. Contrôler T.A., fréquence cardiaque,</w:t>
      </w:r>
      <w:r>
        <w:rPr>
          <w:color w:val="231F20"/>
          <w:spacing w:val="-3"/>
          <w:sz w:val="20"/>
        </w:rPr>
        <w:t> </w:t>
      </w:r>
      <w:r>
        <w:rPr>
          <w:color w:val="231F20"/>
          <w:sz w:val="20"/>
        </w:rPr>
        <w:t>conscience.</w:t>
      </w:r>
    </w:p>
    <w:p>
      <w:pPr>
        <w:pStyle w:val="BodyText"/>
        <w:spacing w:before="3"/>
        <w:rPr>
          <w:sz w:val="19"/>
        </w:rPr>
      </w:pPr>
    </w:p>
    <w:p>
      <w:pPr>
        <w:pStyle w:val="Heading1"/>
        <w:numPr>
          <w:ilvl w:val="0"/>
          <w:numId w:val="1"/>
        </w:numPr>
        <w:tabs>
          <w:tab w:pos="630" w:val="left" w:leader="none"/>
        </w:tabs>
        <w:spacing w:line="240" w:lineRule="auto" w:before="0" w:after="0"/>
        <w:ind w:left="629" w:right="0" w:hanging="227"/>
        <w:jc w:val="left"/>
      </w:pPr>
      <w:r>
        <w:rPr>
          <w:color w:val="231F20"/>
          <w:u w:val="thick" w:color="231F20"/>
        </w:rPr>
        <w:t>Prise en charge des</w:t>
      </w:r>
      <w:r>
        <w:rPr>
          <w:color w:val="231F20"/>
          <w:spacing w:val="-3"/>
          <w:u w:val="thick" w:color="231F20"/>
        </w:rPr>
        <w:t> </w:t>
      </w:r>
      <w:r>
        <w:rPr>
          <w:color w:val="231F20"/>
          <w:u w:val="thick" w:color="231F20"/>
        </w:rPr>
        <w:t>cas</w:t>
      </w:r>
    </w:p>
    <w:p>
      <w:pPr>
        <w:pStyle w:val="BodyText"/>
        <w:spacing w:before="2"/>
        <w:rPr>
          <w:b/>
          <w:sz w:val="13"/>
        </w:rPr>
      </w:pPr>
    </w:p>
    <w:p>
      <w:pPr>
        <w:spacing w:before="69"/>
        <w:ind w:left="403" w:right="0" w:firstLine="0"/>
        <w:jc w:val="left"/>
        <w:rPr>
          <w:b/>
          <w:sz w:val="20"/>
        </w:rPr>
      </w:pPr>
      <w:r>
        <w:rPr>
          <w:b/>
          <w:color w:val="231F20"/>
          <w:sz w:val="20"/>
        </w:rPr>
        <w:t>Interdire (à ne pas faire) :</w:t>
      </w:r>
    </w:p>
    <w:p>
      <w:pPr>
        <w:pStyle w:val="ListParagraph"/>
        <w:numPr>
          <w:ilvl w:val="0"/>
          <w:numId w:val="3"/>
        </w:numPr>
        <w:tabs>
          <w:tab w:pos="787" w:val="left" w:leader="none"/>
        </w:tabs>
        <w:spacing w:line="240" w:lineRule="auto" w:before="57" w:after="0"/>
        <w:ind w:left="786" w:right="0" w:hanging="125"/>
        <w:jc w:val="left"/>
        <w:rPr>
          <w:sz w:val="20"/>
        </w:rPr>
      </w:pPr>
      <w:r>
        <w:rPr>
          <w:color w:val="231F20"/>
          <w:sz w:val="20"/>
        </w:rPr>
        <w:t>incision (pierre noire), infiltrations locales, garrot, application locale de</w:t>
      </w:r>
      <w:r>
        <w:rPr>
          <w:color w:val="231F20"/>
          <w:spacing w:val="5"/>
          <w:sz w:val="20"/>
        </w:rPr>
        <w:t> </w:t>
      </w:r>
      <w:r>
        <w:rPr>
          <w:color w:val="231F20"/>
          <w:sz w:val="20"/>
        </w:rPr>
        <w:t>glace.</w:t>
      </w:r>
    </w:p>
    <w:p>
      <w:pPr>
        <w:pStyle w:val="BodyText"/>
        <w:spacing w:before="1"/>
        <w:rPr>
          <w:sz w:val="19"/>
        </w:rPr>
      </w:pPr>
    </w:p>
    <w:p>
      <w:pPr>
        <w:pStyle w:val="Heading1"/>
        <w:spacing w:before="1"/>
      </w:pPr>
      <w:r>
        <w:rPr>
          <w:color w:val="231F20"/>
        </w:rPr>
        <w:t>Dans tous les cas d‘</w:t>
      </w:r>
      <w:r>
        <w:rPr>
          <w:color w:val="231F20"/>
          <w:u w:val="thick" w:color="231F20"/>
        </w:rPr>
        <w:t>envenimation</w:t>
      </w:r>
      <w:r>
        <w:rPr>
          <w:color w:val="231F20"/>
        </w:rPr>
        <w:t> :</w:t>
      </w:r>
    </w:p>
    <w:p>
      <w:pPr>
        <w:pStyle w:val="ListParagraph"/>
        <w:numPr>
          <w:ilvl w:val="0"/>
          <w:numId w:val="3"/>
        </w:numPr>
        <w:tabs>
          <w:tab w:pos="913" w:val="left" w:leader="none"/>
        </w:tabs>
        <w:spacing w:line="240" w:lineRule="auto" w:before="110" w:after="0"/>
        <w:ind w:left="912" w:right="0" w:hanging="181"/>
        <w:jc w:val="left"/>
        <w:rPr>
          <w:sz w:val="20"/>
        </w:rPr>
      </w:pPr>
      <w:r>
        <w:rPr>
          <w:color w:val="231F20"/>
          <w:sz w:val="20"/>
        </w:rPr>
        <w:t>Rassurer et informer le</w:t>
      </w:r>
      <w:r>
        <w:rPr>
          <w:color w:val="231F20"/>
          <w:spacing w:val="3"/>
          <w:sz w:val="20"/>
        </w:rPr>
        <w:t> </w:t>
      </w:r>
      <w:r>
        <w:rPr>
          <w:color w:val="231F20"/>
          <w:sz w:val="20"/>
        </w:rPr>
        <w:t>patient</w:t>
      </w:r>
    </w:p>
    <w:p>
      <w:pPr>
        <w:pStyle w:val="ListParagraph"/>
        <w:numPr>
          <w:ilvl w:val="0"/>
          <w:numId w:val="3"/>
        </w:numPr>
        <w:tabs>
          <w:tab w:pos="917" w:val="left" w:leader="none"/>
        </w:tabs>
        <w:spacing w:line="240" w:lineRule="auto" w:before="39" w:after="0"/>
        <w:ind w:left="905" w:right="380" w:hanging="173"/>
        <w:jc w:val="left"/>
        <w:rPr>
          <w:sz w:val="20"/>
        </w:rPr>
      </w:pPr>
      <w:r>
        <w:rPr>
          <w:color w:val="231F20"/>
          <w:sz w:val="20"/>
        </w:rPr>
        <w:t>Garder le patient en observation 5 jours, au lit avec le membre mordu légèrement  surélevé si signe</w:t>
      </w:r>
      <w:r>
        <w:rPr>
          <w:color w:val="231F20"/>
          <w:spacing w:val="1"/>
          <w:sz w:val="20"/>
        </w:rPr>
        <w:t> </w:t>
      </w:r>
      <w:r>
        <w:rPr>
          <w:color w:val="231F20"/>
          <w:sz w:val="20"/>
        </w:rPr>
        <w:t>d’envenimation.</w:t>
      </w:r>
    </w:p>
    <w:p>
      <w:pPr>
        <w:pStyle w:val="ListParagraph"/>
        <w:numPr>
          <w:ilvl w:val="0"/>
          <w:numId w:val="3"/>
        </w:numPr>
        <w:tabs>
          <w:tab w:pos="913" w:val="left" w:leader="none"/>
        </w:tabs>
        <w:spacing w:line="240" w:lineRule="auto" w:before="37" w:after="0"/>
        <w:ind w:left="912" w:right="0" w:hanging="181"/>
        <w:jc w:val="left"/>
        <w:rPr>
          <w:sz w:val="20"/>
        </w:rPr>
      </w:pPr>
      <w:r>
        <w:rPr>
          <w:color w:val="231F20"/>
          <w:sz w:val="20"/>
        </w:rPr>
        <w:t>Guetter l’apparition de complications.</w:t>
      </w:r>
    </w:p>
    <w:p>
      <w:pPr>
        <w:pStyle w:val="ListParagraph"/>
        <w:numPr>
          <w:ilvl w:val="0"/>
          <w:numId w:val="3"/>
        </w:numPr>
        <w:tabs>
          <w:tab w:pos="929" w:val="left" w:leader="none"/>
        </w:tabs>
        <w:spacing w:line="242" w:lineRule="auto" w:before="38" w:after="0"/>
        <w:ind w:left="961" w:right="383" w:hanging="229"/>
        <w:jc w:val="left"/>
        <w:rPr>
          <w:sz w:val="20"/>
        </w:rPr>
      </w:pPr>
      <w:r>
        <w:rPr>
          <w:color w:val="231F20"/>
          <w:sz w:val="20"/>
        </w:rPr>
        <w:t>Désinfection stricte, VAT, SAT s’il y a eu incision pour pierre noire ou traitement traditionnel.</w:t>
      </w:r>
    </w:p>
    <w:p>
      <w:pPr>
        <w:pStyle w:val="ListParagraph"/>
        <w:numPr>
          <w:ilvl w:val="0"/>
          <w:numId w:val="3"/>
        </w:numPr>
        <w:tabs>
          <w:tab w:pos="913" w:val="left" w:leader="none"/>
        </w:tabs>
        <w:spacing w:line="240" w:lineRule="auto" w:before="35" w:after="0"/>
        <w:ind w:left="912" w:right="0" w:hanging="181"/>
        <w:jc w:val="left"/>
        <w:rPr>
          <w:sz w:val="20"/>
        </w:rPr>
      </w:pPr>
      <w:r>
        <w:rPr>
          <w:color w:val="231F20"/>
          <w:sz w:val="20"/>
        </w:rPr>
        <w:t>Paracétamol 500mg 2x 2cp/j p. 5</w:t>
      </w:r>
      <w:r>
        <w:rPr>
          <w:color w:val="231F20"/>
          <w:spacing w:val="-1"/>
          <w:sz w:val="20"/>
        </w:rPr>
        <w:t> </w:t>
      </w:r>
      <w:r>
        <w:rPr>
          <w:color w:val="231F20"/>
          <w:sz w:val="20"/>
        </w:rPr>
        <w:t>jours.</w:t>
      </w:r>
    </w:p>
    <w:p>
      <w:pPr>
        <w:pStyle w:val="BodyText"/>
        <w:spacing w:before="1"/>
        <w:rPr>
          <w:sz w:val="19"/>
        </w:rPr>
      </w:pPr>
    </w:p>
    <w:p>
      <w:pPr>
        <w:pStyle w:val="Heading1"/>
      </w:pPr>
      <w:r>
        <w:rPr>
          <w:color w:val="231F20"/>
        </w:rPr>
        <w:t>Dans les cas avec </w:t>
      </w:r>
      <w:r>
        <w:rPr>
          <w:color w:val="231F20"/>
          <w:u w:val="thick" w:color="231F20"/>
        </w:rPr>
        <w:t>complications </w:t>
      </w:r>
      <w:r>
        <w:rPr>
          <w:color w:val="231F20"/>
        </w:rPr>
        <w:t>: REFERER urgent</w:t>
      </w:r>
    </w:p>
    <w:p>
      <w:pPr>
        <w:pStyle w:val="BodyText"/>
        <w:spacing w:before="55"/>
        <w:ind w:left="501"/>
      </w:pPr>
      <w:r>
        <w:rPr>
          <w:color w:val="231F20"/>
          <w:u w:val="single" w:color="231F20"/>
        </w:rPr>
        <w:t>Evacuer vers l’hôpital de district</w:t>
      </w:r>
      <w:r>
        <w:rPr>
          <w:color w:val="231F20"/>
        </w:rPr>
        <w:t> en prenant les premières mesures :</w:t>
      </w:r>
    </w:p>
    <w:p>
      <w:pPr>
        <w:pStyle w:val="Heading1"/>
        <w:spacing w:before="113"/>
        <w:ind w:left="501"/>
        <w:rPr>
          <w:b w:val="0"/>
        </w:rPr>
      </w:pPr>
      <w:r>
        <w:rPr>
          <w:b w:val="0"/>
          <w:color w:val="231F20"/>
        </w:rPr>
        <w:t>En cas de </w:t>
      </w:r>
      <w:r>
        <w:rPr>
          <w:color w:val="231F20"/>
          <w:u w:val="thick" w:color="231F20"/>
        </w:rPr>
        <w:t>complications locales</w:t>
      </w:r>
      <w:r>
        <w:rPr>
          <w:color w:val="231F20"/>
        </w:rPr>
        <w:t> </w:t>
      </w:r>
      <w:r>
        <w:rPr>
          <w:b w:val="0"/>
          <w:color w:val="231F20"/>
        </w:rPr>
        <w:t>: </w:t>
      </w:r>
      <w:r>
        <w:rPr>
          <w:color w:val="231F20"/>
        </w:rPr>
        <w:t>Procaïne benzyle pénicilline 2,4 MU en IM</w:t>
      </w:r>
      <w:r>
        <w:rPr>
          <w:color w:val="231F20"/>
          <w:spacing w:val="55"/>
        </w:rPr>
        <w:t> </w:t>
      </w:r>
      <w:r>
        <w:rPr>
          <w:b w:val="0"/>
          <w:color w:val="231F20"/>
        </w:rPr>
        <w:t>et</w:t>
      </w:r>
    </w:p>
    <w:p>
      <w:pPr>
        <w:spacing w:before="34"/>
        <w:ind w:left="501" w:right="0" w:firstLine="0"/>
        <w:jc w:val="left"/>
        <w:rPr>
          <w:sz w:val="18"/>
        </w:rPr>
      </w:pPr>
      <w:r>
        <w:rPr>
          <w:b/>
          <w:color w:val="231F20"/>
          <w:sz w:val="20"/>
        </w:rPr>
        <w:t>Métronidazole 2cp </w:t>
      </w:r>
      <w:r>
        <w:rPr>
          <w:b/>
          <w:i/>
          <w:color w:val="231F20"/>
          <w:sz w:val="20"/>
        </w:rPr>
        <w:t>- </w:t>
      </w:r>
      <w:r>
        <w:rPr>
          <w:i/>
          <w:color w:val="231F20"/>
          <w:sz w:val="18"/>
        </w:rPr>
        <w:t>traitements à poursuivre au centre de référence suivant l’évolution</w:t>
      </w:r>
      <w:r>
        <w:rPr>
          <w:color w:val="231F20"/>
          <w:sz w:val="18"/>
        </w:rPr>
        <w:t>.</w:t>
      </w:r>
    </w:p>
    <w:p>
      <w:pPr>
        <w:spacing w:line="360" w:lineRule="auto" w:before="143"/>
        <w:ind w:left="501" w:right="356" w:hanging="1"/>
        <w:jc w:val="left"/>
        <w:rPr>
          <w:b/>
          <w:sz w:val="20"/>
        </w:rPr>
      </w:pPr>
      <w:r>
        <w:rPr>
          <w:color w:val="231F20"/>
          <w:sz w:val="20"/>
        </w:rPr>
        <w:t>En cas de </w:t>
      </w:r>
      <w:r>
        <w:rPr>
          <w:b/>
          <w:color w:val="231F20"/>
          <w:sz w:val="20"/>
          <w:u w:val="thick" w:color="231F20"/>
        </w:rPr>
        <w:t>syndrome hémorragique</w:t>
      </w:r>
      <w:r>
        <w:rPr>
          <w:b/>
          <w:color w:val="231F20"/>
          <w:sz w:val="20"/>
        </w:rPr>
        <w:t> </w:t>
      </w:r>
      <w:r>
        <w:rPr>
          <w:color w:val="231F20"/>
          <w:sz w:val="20"/>
        </w:rPr>
        <w:t>: </w:t>
      </w:r>
      <w:r>
        <w:rPr>
          <w:i/>
          <w:color w:val="231F20"/>
          <w:sz w:val="20"/>
        </w:rPr>
        <w:t>éviter AAS, autres anti-inflammatoires et injections IM</w:t>
      </w:r>
      <w:r>
        <w:rPr>
          <w:color w:val="231F20"/>
          <w:sz w:val="20"/>
        </w:rPr>
        <w:t>. En cas de</w:t>
      </w:r>
      <w:r>
        <w:rPr>
          <w:color w:val="231F20"/>
          <w:sz w:val="20"/>
          <w:u w:val="thick" w:color="231F20"/>
        </w:rPr>
        <w:t> </w:t>
      </w:r>
      <w:r>
        <w:rPr>
          <w:b/>
          <w:color w:val="231F20"/>
          <w:sz w:val="20"/>
          <w:u w:val="thick" w:color="231F20"/>
        </w:rPr>
        <w:t>choc</w:t>
      </w:r>
      <w:r>
        <w:rPr>
          <w:b/>
          <w:color w:val="231F20"/>
          <w:sz w:val="20"/>
        </w:rPr>
        <w:t> </w:t>
      </w:r>
      <w:r>
        <w:rPr>
          <w:color w:val="231F20"/>
          <w:sz w:val="20"/>
        </w:rPr>
        <w:t>seulement : </w:t>
      </w:r>
      <w:r>
        <w:rPr>
          <w:b/>
          <w:color w:val="231F20"/>
          <w:sz w:val="20"/>
        </w:rPr>
        <w:t>Dexaméthasone 1 à 2 ampoules, prométhazine,</w:t>
      </w:r>
    </w:p>
    <w:p>
      <w:pPr>
        <w:pStyle w:val="Heading1"/>
        <w:spacing w:line="161" w:lineRule="exact"/>
        <w:ind w:left="3075"/>
      </w:pPr>
      <w:r>
        <w:rPr>
          <w:color w:val="231F20"/>
        </w:rPr>
        <w:t>perfusion de Ringer – </w:t>
      </w:r>
      <w:r>
        <w:rPr>
          <w:b w:val="0"/>
          <w:color w:val="231F20"/>
        </w:rPr>
        <w:t>voir aussi </w:t>
      </w:r>
      <w:r>
        <w:rPr>
          <w:color w:val="231F20"/>
        </w:rPr>
        <w:t>FT choc hypovolémique.</w:t>
      </w:r>
    </w:p>
    <w:p>
      <w:pPr>
        <w:spacing w:before="160"/>
        <w:ind w:left="501" w:right="0" w:firstLine="0"/>
        <w:jc w:val="left"/>
        <w:rPr>
          <w:sz w:val="20"/>
        </w:rPr>
      </w:pPr>
      <w:r>
        <w:rPr/>
        <w:pict>
          <v:shape style="position:absolute;margin-left:106.567528pt;margin-top:25.312092pt;width:419.45pt;height:36.25pt;mso-position-horizontal-relative:page;mso-position-vertical-relative:paragraph;z-index:-251657216;mso-wrap-distance-left:0;mso-wrap-distance-right:0" type="#_x0000_t202" filled="false" stroked="true" strokeweight=".699844pt" strokecolor="#231f20">
            <v:textbox inset="0,0,0,0">
              <w:txbxContent>
                <w:p>
                  <w:pPr>
                    <w:spacing w:line="242" w:lineRule="auto" w:before="17"/>
                    <w:ind w:left="43" w:right="40" w:firstLine="0"/>
                    <w:jc w:val="both"/>
                    <w:rPr>
                      <w:i/>
                      <w:sz w:val="18"/>
                    </w:rPr>
                  </w:pPr>
                  <w:r>
                    <w:rPr>
                      <w:color w:val="231F20"/>
                      <w:sz w:val="20"/>
                    </w:rPr>
                    <w:t>Rincer abondamment l’oeil avec de l’eau pure, appliquer de la pommade tétracycline 1% et mettre un pansement occlusif pendant 48 h </w:t>
                  </w:r>
                  <w:r>
                    <w:rPr>
                      <w:i/>
                      <w:color w:val="231F20"/>
                      <w:sz w:val="18"/>
                    </w:rPr>
                    <w:t>(en effet, ce venin provoque des érosions cornéennes </w:t>
                  </w:r>
                  <w:r>
                    <w:rPr>
                      <w:i/>
                      <w:color w:val="231F20"/>
                      <w:sz w:val="18"/>
                    </w:rPr>
                    <w:t>qui peuvent se surinfecter et entraîner une cécité secondaire).</w:t>
                  </w:r>
                </w:p>
              </w:txbxContent>
            </v:textbox>
            <v:stroke dashstyle="solid"/>
            <w10:wrap type="topAndBottom"/>
          </v:shape>
        </w:pict>
      </w:r>
      <w:r>
        <w:rPr>
          <w:color w:val="231F20"/>
          <w:sz w:val="20"/>
        </w:rPr>
        <w:t>En cas </w:t>
      </w:r>
      <w:r>
        <w:rPr>
          <w:b/>
          <w:color w:val="231F20"/>
          <w:sz w:val="20"/>
          <w:u w:val="thick" w:color="231F20"/>
        </w:rPr>
        <w:t>d’atteinte oculaire</w:t>
      </w:r>
      <w:r>
        <w:rPr>
          <w:b/>
          <w:color w:val="231F20"/>
          <w:sz w:val="20"/>
        </w:rPr>
        <w:t> </w:t>
      </w:r>
      <w:r>
        <w:rPr>
          <w:color w:val="231F20"/>
          <w:sz w:val="20"/>
        </w:rPr>
        <w:t>par naja cracheur :</w:t>
      </w:r>
    </w:p>
    <w:p>
      <w:pPr>
        <w:pStyle w:val="BodyText"/>
      </w:pPr>
    </w:p>
    <w:p>
      <w:pPr>
        <w:pStyle w:val="BodyText"/>
        <w:spacing w:before="6"/>
      </w:pPr>
    </w:p>
    <w:p>
      <w:pPr>
        <w:spacing w:before="110"/>
        <w:ind w:left="4684" w:right="4436" w:firstLine="0"/>
        <w:jc w:val="center"/>
        <w:rPr>
          <w:rFonts w:ascii="Times New Roman"/>
          <w:sz w:val="18"/>
        </w:rPr>
      </w:pPr>
      <w:r>
        <w:rPr>
          <w:rFonts w:ascii="Times New Roman"/>
          <w:color w:val="231F20"/>
          <w:sz w:val="18"/>
        </w:rPr>
        <w:t>76</w:t>
      </w:r>
    </w:p>
    <w:sectPr>
      <w:type w:val="continuous"/>
      <w:pgSz w:w="11900" w:h="16840"/>
      <w:pgMar w:top="1600" w:bottom="280" w:left="16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905" w:hanging="124"/>
      </w:pPr>
      <w:rPr>
        <w:rFonts w:hint="default" w:ascii="Arial" w:hAnsi="Arial" w:eastAsia="Arial" w:cs="Arial"/>
        <w:color w:val="231F20"/>
        <w:w w:val="101"/>
        <w:sz w:val="20"/>
        <w:szCs w:val="20"/>
      </w:rPr>
    </w:lvl>
    <w:lvl w:ilvl="1">
      <w:start w:val="0"/>
      <w:numFmt w:val="bullet"/>
      <w:lvlText w:val="•"/>
      <w:lvlJc w:val="left"/>
      <w:pPr>
        <w:ind w:left="1744" w:hanging="124"/>
      </w:pPr>
      <w:rPr>
        <w:rFonts w:hint="default"/>
      </w:rPr>
    </w:lvl>
    <w:lvl w:ilvl="2">
      <w:start w:val="0"/>
      <w:numFmt w:val="bullet"/>
      <w:lvlText w:val="•"/>
      <w:lvlJc w:val="left"/>
      <w:pPr>
        <w:ind w:left="2588" w:hanging="124"/>
      </w:pPr>
      <w:rPr>
        <w:rFonts w:hint="default"/>
      </w:rPr>
    </w:lvl>
    <w:lvl w:ilvl="3">
      <w:start w:val="0"/>
      <w:numFmt w:val="bullet"/>
      <w:lvlText w:val="•"/>
      <w:lvlJc w:val="left"/>
      <w:pPr>
        <w:ind w:left="3432" w:hanging="124"/>
      </w:pPr>
      <w:rPr>
        <w:rFonts w:hint="default"/>
      </w:rPr>
    </w:lvl>
    <w:lvl w:ilvl="4">
      <w:start w:val="0"/>
      <w:numFmt w:val="bullet"/>
      <w:lvlText w:val="•"/>
      <w:lvlJc w:val="left"/>
      <w:pPr>
        <w:ind w:left="4276" w:hanging="124"/>
      </w:pPr>
      <w:rPr>
        <w:rFonts w:hint="default"/>
      </w:rPr>
    </w:lvl>
    <w:lvl w:ilvl="5">
      <w:start w:val="0"/>
      <w:numFmt w:val="bullet"/>
      <w:lvlText w:val="•"/>
      <w:lvlJc w:val="left"/>
      <w:pPr>
        <w:ind w:left="5120" w:hanging="124"/>
      </w:pPr>
      <w:rPr>
        <w:rFonts w:hint="default"/>
      </w:rPr>
    </w:lvl>
    <w:lvl w:ilvl="6">
      <w:start w:val="0"/>
      <w:numFmt w:val="bullet"/>
      <w:lvlText w:val="•"/>
      <w:lvlJc w:val="left"/>
      <w:pPr>
        <w:ind w:left="5964" w:hanging="124"/>
      </w:pPr>
      <w:rPr>
        <w:rFonts w:hint="default"/>
      </w:rPr>
    </w:lvl>
    <w:lvl w:ilvl="7">
      <w:start w:val="0"/>
      <w:numFmt w:val="bullet"/>
      <w:lvlText w:val="•"/>
      <w:lvlJc w:val="left"/>
      <w:pPr>
        <w:ind w:left="6808" w:hanging="124"/>
      </w:pPr>
      <w:rPr>
        <w:rFonts w:hint="default"/>
      </w:rPr>
    </w:lvl>
    <w:lvl w:ilvl="8">
      <w:start w:val="0"/>
      <w:numFmt w:val="bullet"/>
      <w:lvlText w:val="•"/>
      <w:lvlJc w:val="left"/>
      <w:pPr>
        <w:ind w:left="7652" w:hanging="124"/>
      </w:pPr>
      <w:rPr>
        <w:rFonts w:hint="default"/>
      </w:rPr>
    </w:lvl>
  </w:abstractNum>
  <w:abstractNum w:abstractNumId="1">
    <w:multiLevelType w:val="hybridMultilevel"/>
    <w:lvl w:ilvl="0">
      <w:start w:val="1"/>
      <w:numFmt w:val="lowerLetter"/>
      <w:lvlText w:val="%1)"/>
      <w:lvlJc w:val="left"/>
      <w:pPr>
        <w:ind w:left="1390" w:hanging="369"/>
        <w:jc w:val="left"/>
      </w:pPr>
      <w:rPr>
        <w:rFonts w:hint="default" w:ascii="Arial" w:hAnsi="Arial" w:eastAsia="Arial" w:cs="Arial"/>
        <w:color w:val="231F20"/>
        <w:spacing w:val="-1"/>
        <w:w w:val="101"/>
        <w:sz w:val="20"/>
        <w:szCs w:val="20"/>
      </w:rPr>
    </w:lvl>
    <w:lvl w:ilvl="1">
      <w:start w:val="0"/>
      <w:numFmt w:val="bullet"/>
      <w:lvlText w:val="•"/>
      <w:lvlJc w:val="left"/>
      <w:pPr>
        <w:ind w:left="2194" w:hanging="369"/>
      </w:pPr>
      <w:rPr>
        <w:rFonts w:hint="default"/>
      </w:rPr>
    </w:lvl>
    <w:lvl w:ilvl="2">
      <w:start w:val="0"/>
      <w:numFmt w:val="bullet"/>
      <w:lvlText w:val="•"/>
      <w:lvlJc w:val="left"/>
      <w:pPr>
        <w:ind w:left="2988" w:hanging="369"/>
      </w:pPr>
      <w:rPr>
        <w:rFonts w:hint="default"/>
      </w:rPr>
    </w:lvl>
    <w:lvl w:ilvl="3">
      <w:start w:val="0"/>
      <w:numFmt w:val="bullet"/>
      <w:lvlText w:val="•"/>
      <w:lvlJc w:val="left"/>
      <w:pPr>
        <w:ind w:left="3782" w:hanging="369"/>
      </w:pPr>
      <w:rPr>
        <w:rFonts w:hint="default"/>
      </w:rPr>
    </w:lvl>
    <w:lvl w:ilvl="4">
      <w:start w:val="0"/>
      <w:numFmt w:val="bullet"/>
      <w:lvlText w:val="•"/>
      <w:lvlJc w:val="left"/>
      <w:pPr>
        <w:ind w:left="4576" w:hanging="369"/>
      </w:pPr>
      <w:rPr>
        <w:rFonts w:hint="default"/>
      </w:rPr>
    </w:lvl>
    <w:lvl w:ilvl="5">
      <w:start w:val="0"/>
      <w:numFmt w:val="bullet"/>
      <w:lvlText w:val="•"/>
      <w:lvlJc w:val="left"/>
      <w:pPr>
        <w:ind w:left="5370" w:hanging="369"/>
      </w:pPr>
      <w:rPr>
        <w:rFonts w:hint="default"/>
      </w:rPr>
    </w:lvl>
    <w:lvl w:ilvl="6">
      <w:start w:val="0"/>
      <w:numFmt w:val="bullet"/>
      <w:lvlText w:val="•"/>
      <w:lvlJc w:val="left"/>
      <w:pPr>
        <w:ind w:left="6164" w:hanging="369"/>
      </w:pPr>
      <w:rPr>
        <w:rFonts w:hint="default"/>
      </w:rPr>
    </w:lvl>
    <w:lvl w:ilvl="7">
      <w:start w:val="0"/>
      <w:numFmt w:val="bullet"/>
      <w:lvlText w:val="•"/>
      <w:lvlJc w:val="left"/>
      <w:pPr>
        <w:ind w:left="6958" w:hanging="369"/>
      </w:pPr>
      <w:rPr>
        <w:rFonts w:hint="default"/>
      </w:rPr>
    </w:lvl>
    <w:lvl w:ilvl="8">
      <w:start w:val="0"/>
      <w:numFmt w:val="bullet"/>
      <w:lvlText w:val="•"/>
      <w:lvlJc w:val="left"/>
      <w:pPr>
        <w:ind w:left="7752" w:hanging="369"/>
      </w:pPr>
      <w:rPr>
        <w:rFonts w:hint="default"/>
      </w:rPr>
    </w:lvl>
  </w:abstractNum>
  <w:abstractNum w:abstractNumId="0">
    <w:multiLevelType w:val="hybridMultilevel"/>
    <w:lvl w:ilvl="0">
      <w:start w:val="1"/>
      <w:numFmt w:val="decimal"/>
      <w:lvlText w:val="%1."/>
      <w:lvlJc w:val="left"/>
      <w:pPr>
        <w:ind w:left="629" w:hanging="227"/>
        <w:jc w:val="left"/>
      </w:pPr>
      <w:rPr>
        <w:rFonts w:hint="default" w:ascii="Arial" w:hAnsi="Arial" w:eastAsia="Arial" w:cs="Arial"/>
        <w:b/>
        <w:bCs/>
        <w:color w:val="231F20"/>
        <w:spacing w:val="-1"/>
        <w:w w:val="101"/>
        <w:sz w:val="20"/>
        <w:szCs w:val="20"/>
        <w:u w:val="thick" w:color="231F20"/>
      </w:rPr>
    </w:lvl>
    <w:lvl w:ilvl="1">
      <w:start w:val="0"/>
      <w:numFmt w:val="bullet"/>
      <w:lvlText w:val=""/>
      <w:lvlJc w:val="left"/>
      <w:pPr>
        <w:ind w:left="858" w:hanging="259"/>
      </w:pPr>
      <w:rPr>
        <w:rFonts w:hint="default" w:ascii="Symbol" w:hAnsi="Symbol" w:eastAsia="Symbol" w:cs="Symbol"/>
        <w:color w:val="231F20"/>
        <w:w w:val="100"/>
        <w:sz w:val="20"/>
        <w:szCs w:val="20"/>
      </w:rPr>
    </w:lvl>
    <w:lvl w:ilvl="2">
      <w:start w:val="0"/>
      <w:numFmt w:val="bullet"/>
      <w:lvlText w:val="-"/>
      <w:lvlJc w:val="left"/>
      <w:pPr>
        <w:ind w:left="1045" w:hanging="124"/>
      </w:pPr>
      <w:rPr>
        <w:rFonts w:hint="default" w:ascii="Arial" w:hAnsi="Arial" w:eastAsia="Arial" w:cs="Arial"/>
        <w:color w:val="231F20"/>
        <w:w w:val="101"/>
        <w:sz w:val="20"/>
        <w:szCs w:val="20"/>
      </w:rPr>
    </w:lvl>
    <w:lvl w:ilvl="3">
      <w:start w:val="0"/>
      <w:numFmt w:val="bullet"/>
      <w:lvlText w:val="•"/>
      <w:lvlJc w:val="left"/>
      <w:pPr>
        <w:ind w:left="2077" w:hanging="124"/>
      </w:pPr>
      <w:rPr>
        <w:rFonts w:hint="default"/>
      </w:rPr>
    </w:lvl>
    <w:lvl w:ilvl="4">
      <w:start w:val="0"/>
      <w:numFmt w:val="bullet"/>
      <w:lvlText w:val="•"/>
      <w:lvlJc w:val="left"/>
      <w:pPr>
        <w:ind w:left="3115" w:hanging="124"/>
      </w:pPr>
      <w:rPr>
        <w:rFonts w:hint="default"/>
      </w:rPr>
    </w:lvl>
    <w:lvl w:ilvl="5">
      <w:start w:val="0"/>
      <w:numFmt w:val="bullet"/>
      <w:lvlText w:val="•"/>
      <w:lvlJc w:val="left"/>
      <w:pPr>
        <w:ind w:left="4152" w:hanging="124"/>
      </w:pPr>
      <w:rPr>
        <w:rFonts w:hint="default"/>
      </w:rPr>
    </w:lvl>
    <w:lvl w:ilvl="6">
      <w:start w:val="0"/>
      <w:numFmt w:val="bullet"/>
      <w:lvlText w:val="•"/>
      <w:lvlJc w:val="left"/>
      <w:pPr>
        <w:ind w:left="5190" w:hanging="124"/>
      </w:pPr>
      <w:rPr>
        <w:rFonts w:hint="default"/>
      </w:rPr>
    </w:lvl>
    <w:lvl w:ilvl="7">
      <w:start w:val="0"/>
      <w:numFmt w:val="bullet"/>
      <w:lvlText w:val="•"/>
      <w:lvlJc w:val="left"/>
      <w:pPr>
        <w:ind w:left="6227" w:hanging="124"/>
      </w:pPr>
      <w:rPr>
        <w:rFonts w:hint="default"/>
      </w:rPr>
    </w:lvl>
    <w:lvl w:ilvl="8">
      <w:start w:val="0"/>
      <w:numFmt w:val="bullet"/>
      <w:lvlText w:val="•"/>
      <w:lvlJc w:val="left"/>
      <w:pPr>
        <w:ind w:left="7265" w:hanging="124"/>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403"/>
      <w:outlineLvl w:val="1"/>
    </w:pPr>
    <w:rPr>
      <w:rFonts w:ascii="Arial" w:hAnsi="Arial" w:eastAsia="Arial" w:cs="Arial"/>
      <w:b/>
      <w:bCs/>
      <w:sz w:val="20"/>
      <w:szCs w:val="20"/>
    </w:rPr>
  </w:style>
  <w:style w:styleId="ListParagraph" w:type="paragraph">
    <w:name w:val="List Paragraph"/>
    <w:basedOn w:val="Normal"/>
    <w:uiPriority w:val="1"/>
    <w:qFormat/>
    <w:pPr>
      <w:spacing w:before="38"/>
      <w:ind w:left="1045" w:hanging="125"/>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dc:title>Guide SPT Vs Final signé 09.06.12.pdf</dc:title>
  <dcterms:created xsi:type="dcterms:W3CDTF">2020-02-25T15:29:12Z</dcterms:created>
  <dcterms:modified xsi:type="dcterms:W3CDTF">2020-02-25T15:29:12Z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2017-11-16T00:00:00Z</vt:filetime>
  </property>
  <property fmtid="{D5CDD505-2E9C-101B-9397-08002B2CF9AE}" pid="3" name="Creator">
    <vt:lpwstr>Bullzip PDF Printer (10.8.0.2282)</vt:lpwstr>
  </property>
  <property fmtid="{D5CDD505-2E9C-101B-9397-08002B2CF9AE}" pid="4" name="LastSaved">
    <vt:filetime>2020-02-25T00:00:00Z</vt:filetime>
  </property>
</Properties>
</file>