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825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4.25pt;height:17.25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3"/>
                    <w:ind w:left="3679" w:right="3679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PALUDISME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pStyle w:val="Heading3"/>
        <w:tabs>
          <w:tab w:pos="1228" w:val="left" w:leader="none"/>
          <w:tab w:pos="9509" w:val="left" w:leader="none"/>
        </w:tabs>
        <w:spacing w:before="72"/>
        <w:ind w:left="857" w:firstLine="0"/>
      </w:pPr>
      <w:r>
        <w:rPr>
          <w:color w:val="231F20"/>
          <w:w w:val="100"/>
          <w:shd w:fill="DFE0E1" w:color="auto" w:val="clear"/>
        </w:rPr>
        <w:t> </w:t>
      </w:r>
      <w:r>
        <w:rPr>
          <w:color w:val="231F20"/>
          <w:shd w:fill="DFE0E1" w:color="auto" w:val="clear"/>
        </w:rPr>
        <w:tab/>
        <w:t>CONFIRME</w:t>
      </w:r>
      <w:r>
        <w:rPr>
          <w:color w:val="231F20"/>
          <w:spacing w:val="9"/>
          <w:shd w:fill="DFE0E1" w:color="auto" w:val="clear"/>
        </w:rPr>
        <w:t> </w:t>
      </w:r>
      <w:r>
        <w:rPr>
          <w:color w:val="231F20"/>
          <w:shd w:fill="DFE0E1" w:color="auto" w:val="clear"/>
        </w:rPr>
        <w:t>CHAQUE</w:t>
      </w:r>
      <w:r>
        <w:rPr>
          <w:color w:val="231F20"/>
          <w:spacing w:val="7"/>
          <w:shd w:fill="DFE0E1" w:color="auto" w:val="clear"/>
        </w:rPr>
        <w:t> </w:t>
      </w:r>
      <w:r>
        <w:rPr>
          <w:color w:val="231F20"/>
          <w:shd w:fill="DFE0E1" w:color="auto" w:val="clear"/>
        </w:rPr>
        <w:t>CAS</w:t>
      </w:r>
      <w:r>
        <w:rPr>
          <w:color w:val="231F20"/>
          <w:spacing w:val="7"/>
          <w:shd w:fill="DFE0E1" w:color="auto" w:val="clear"/>
        </w:rPr>
        <w:t> </w:t>
      </w:r>
      <w:r>
        <w:rPr>
          <w:color w:val="231F20"/>
          <w:shd w:fill="DFE0E1" w:color="auto" w:val="clear"/>
        </w:rPr>
        <w:t>PAR</w:t>
      </w:r>
      <w:r>
        <w:rPr>
          <w:color w:val="231F20"/>
          <w:spacing w:val="12"/>
          <w:shd w:fill="DFE0E1" w:color="auto" w:val="clear"/>
        </w:rPr>
        <w:t> </w:t>
      </w:r>
      <w:r>
        <w:rPr>
          <w:color w:val="231F20"/>
          <w:shd w:fill="DFE0E1" w:color="auto" w:val="clear"/>
        </w:rPr>
        <w:t>GOUTE</w:t>
      </w:r>
      <w:r>
        <w:rPr>
          <w:color w:val="231F20"/>
          <w:spacing w:val="10"/>
          <w:shd w:fill="DFE0E1" w:color="auto" w:val="clear"/>
        </w:rPr>
        <w:t> </w:t>
      </w:r>
      <w:r>
        <w:rPr>
          <w:color w:val="231F20"/>
          <w:shd w:fill="DFE0E1" w:color="auto" w:val="clear"/>
        </w:rPr>
        <w:t>D’EPAISSE</w:t>
      </w:r>
      <w:r>
        <w:rPr>
          <w:color w:val="231F20"/>
          <w:spacing w:val="7"/>
          <w:shd w:fill="DFE0E1" w:color="auto" w:val="clear"/>
        </w:rPr>
        <w:t> </w:t>
      </w:r>
      <w:r>
        <w:rPr>
          <w:color w:val="231F20"/>
          <w:shd w:fill="DFE0E1" w:color="auto" w:val="clear"/>
        </w:rPr>
        <w:t>OU</w:t>
      </w:r>
      <w:r>
        <w:rPr>
          <w:color w:val="231F20"/>
          <w:spacing w:val="12"/>
          <w:shd w:fill="DFE0E1" w:color="auto" w:val="clear"/>
        </w:rPr>
        <w:t> </w:t>
      </w:r>
      <w:r>
        <w:rPr>
          <w:color w:val="231F20"/>
          <w:shd w:fill="DFE0E1" w:color="auto" w:val="clear"/>
        </w:rPr>
        <w:t>TEST</w:t>
      </w:r>
      <w:r>
        <w:rPr>
          <w:color w:val="231F20"/>
          <w:spacing w:val="5"/>
          <w:shd w:fill="DFE0E1" w:color="auto" w:val="clear"/>
        </w:rPr>
        <w:t> </w:t>
      </w:r>
      <w:r>
        <w:rPr>
          <w:color w:val="231F20"/>
          <w:shd w:fill="DFE0E1" w:color="auto" w:val="clear"/>
        </w:rPr>
        <w:t>RAPIDE</w:t>
      </w:r>
      <w:r>
        <w:rPr>
          <w:color w:val="231F20"/>
          <w:spacing w:val="11"/>
          <w:shd w:fill="DFE0E1" w:color="auto" w:val="clear"/>
        </w:rPr>
        <w:t> </w:t>
      </w:r>
      <w:r>
        <w:rPr>
          <w:color w:val="231F20"/>
          <w:shd w:fill="DFE0E1" w:color="auto" w:val="clear"/>
        </w:rPr>
        <w:t>AVANT</w:t>
      </w:r>
      <w:r>
        <w:rPr>
          <w:color w:val="231F20"/>
          <w:spacing w:val="8"/>
          <w:shd w:fill="DFE0E1" w:color="auto" w:val="clear"/>
        </w:rPr>
        <w:t> </w:t>
      </w:r>
      <w:r>
        <w:rPr>
          <w:color w:val="231F20"/>
          <w:shd w:fill="DFE0E1" w:color="auto" w:val="clear"/>
        </w:rPr>
        <w:t>TRAITEMENT</w:t>
        <w:tab/>
      </w:r>
    </w:p>
    <w:p>
      <w:pPr>
        <w:pStyle w:val="BodyText"/>
        <w:spacing w:before="7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535" w:val="left" w:leader="none"/>
        </w:tabs>
        <w:spacing w:line="240" w:lineRule="auto" w:before="64" w:after="0"/>
        <w:ind w:left="4534" w:right="0" w:hanging="3875"/>
        <w:jc w:val="left"/>
        <w:rPr>
          <w:b/>
          <w:sz w:val="22"/>
        </w:rPr>
      </w:pPr>
      <w:r>
        <w:rPr>
          <w:b/>
          <w:color w:val="231F20"/>
          <w:sz w:val="22"/>
          <w:shd w:fill="DFE0E1" w:color="auto" w:val="clear"/>
          <w:u w:val="thick" w:color="231F20"/>
        </w:rPr>
        <w:t>Paludisme simple</w:t>
      </w:r>
    </w:p>
    <w:p>
      <w:pPr>
        <w:pStyle w:val="BodyText"/>
        <w:spacing w:before="55"/>
        <w:ind w:left="883"/>
      </w:pPr>
      <w:r>
        <w:rPr>
          <w:b/>
          <w:color w:val="231F20"/>
        </w:rPr>
        <w:t>Diagnose basé </w:t>
      </w:r>
      <w:r>
        <w:rPr>
          <w:color w:val="231F20"/>
        </w:rPr>
        <w:t>sur : Fièvre, Frissons, Asthénie généralisée - pas des signes de danger</w:t>
      </w:r>
    </w:p>
    <w:p>
      <w:pPr>
        <w:pStyle w:val="Heading3"/>
        <w:spacing w:before="115"/>
        <w:ind w:left="1631" w:right="1101" w:firstLine="0"/>
        <w:jc w:val="center"/>
      </w:pPr>
      <w:r>
        <w:rPr>
          <w:color w:val="231F20"/>
        </w:rPr>
        <w:t>TRAITEMENT de la première intention</w:t>
      </w:r>
    </w:p>
    <w:p>
      <w:pPr>
        <w:spacing w:before="57"/>
        <w:ind w:left="1631" w:right="1105" w:firstLine="0"/>
        <w:jc w:val="center"/>
        <w:rPr>
          <w:i/>
          <w:sz w:val="18"/>
        </w:rPr>
      </w:pPr>
      <w:r>
        <w:rPr/>
        <w:pict>
          <v:shape style="position:absolute;margin-left:101.026009pt;margin-top:22.374716pt;width:448.7pt;height:25.9pt;mso-position-horizontal-relative:page;mso-position-vertical-relative:paragraph;z-index:-251848704" coordorigin="2021,447" coordsize="8974,518" path="m10994,447l2021,447,2021,732,2021,965,10994,965,10994,732,10994,447e" filled="true" fillcolor="#dfe0e1" stroked="false">
            <v:path arrowok="t"/>
            <v:fill type="solid"/>
            <w10:wrap type="none"/>
          </v:shape>
        </w:pict>
      </w:r>
      <w:r>
        <w:rPr>
          <w:i/>
          <w:color w:val="231F20"/>
          <w:sz w:val="18"/>
        </w:rPr>
        <w:t>(sauf en cas de contra indication – voir en bas – surtout femme enceintes en 1</w:t>
      </w:r>
      <w:r>
        <w:rPr>
          <w:i/>
          <w:color w:val="231F20"/>
          <w:sz w:val="18"/>
          <w:vertAlign w:val="superscript"/>
        </w:rPr>
        <w:t>ier</w:t>
      </w:r>
      <w:r>
        <w:rPr>
          <w:i/>
          <w:color w:val="231F20"/>
          <w:sz w:val="18"/>
          <w:vertAlign w:val="baseline"/>
        </w:rPr>
        <w:t> trimestre!)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72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9"/>
      </w:tblGrid>
      <w:tr>
        <w:trPr>
          <w:trHeight w:val="2571" w:hRule="atLeast"/>
        </w:trPr>
        <w:tc>
          <w:tcPr>
            <w:tcW w:w="9179" w:type="dxa"/>
            <w:tcBorders>
              <w:bottom w:val="nil"/>
            </w:tcBorders>
          </w:tcPr>
          <w:p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Artesunate + Amodiaquine (AS+AQ) ASAQ</w:t>
            </w:r>
          </w:p>
          <w:p>
            <w:pPr>
              <w:pStyle w:val="TableParagraph"/>
              <w:spacing w:before="54"/>
              <w:ind w:left="202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(la cure est - 1 dose - 1 fois par jour - pendant 3 jours)</w:t>
            </w:r>
          </w:p>
          <w:p>
            <w:pPr>
              <w:pStyle w:val="TableParagraph"/>
              <w:tabs>
                <w:tab w:pos="2626" w:val="left" w:leader="none"/>
                <w:tab w:pos="2703" w:val="left" w:leader="none"/>
                <w:tab w:pos="3832" w:val="left" w:leader="none"/>
                <w:tab w:pos="3923" w:val="left" w:leader="none"/>
                <w:tab w:pos="5001" w:val="left" w:leader="none"/>
                <w:tab w:pos="5631" w:val="left" w:leader="none"/>
                <w:tab w:pos="7600" w:val="left" w:leader="none"/>
                <w:tab w:pos="7675" w:val="left" w:leader="none"/>
              </w:tabs>
              <w:spacing w:line="285" w:lineRule="auto" w:before="114"/>
              <w:ind w:left="258" w:right="366" w:firstLine="1126"/>
              <w:rPr>
                <w:sz w:val="18"/>
              </w:rPr>
            </w:pPr>
            <w:r>
              <w:rPr>
                <w:b/>
                <w:color w:val="231F20"/>
                <w:sz w:val="18"/>
                <w:u w:val="single" w:color="231F20"/>
              </w:rPr>
              <w:t>Présentation (comprimes de différentes tailles pour les quatre catégories)</w:t>
            </w:r>
            <w:r>
              <w:rPr>
                <w:b/>
                <w:color w:val="231F20"/>
                <w:sz w:val="18"/>
              </w:rPr>
              <w:t>  </w:t>
            </w:r>
            <w:r>
              <w:rPr>
                <w:i/>
                <w:color w:val="231F20"/>
                <w:sz w:val="18"/>
                <w:u w:val="single" w:color="231F20"/>
              </w:rPr>
              <w:t>Présentation</w:t>
            </w:r>
            <w:r>
              <w:rPr>
                <w:i/>
                <w:color w:val="231F20"/>
                <w:sz w:val="18"/>
              </w:rPr>
              <w:tab/>
              <w:tab/>
            </w:r>
            <w:r>
              <w:rPr>
                <w:i/>
                <w:color w:val="231F20"/>
                <w:sz w:val="18"/>
                <w:u w:val="single" w:color="231F20"/>
              </w:rPr>
              <w:t>age</w:t>
            </w:r>
            <w:r>
              <w:rPr>
                <w:i/>
                <w:color w:val="231F20"/>
                <w:sz w:val="18"/>
              </w:rPr>
              <w:tab/>
              <w:tab/>
            </w:r>
            <w:r>
              <w:rPr>
                <w:i/>
                <w:color w:val="231F20"/>
                <w:sz w:val="18"/>
                <w:u w:val="single" w:color="231F20"/>
              </w:rPr>
              <w:t>poids</w:t>
            </w:r>
            <w:r>
              <w:rPr>
                <w:i/>
                <w:color w:val="231F20"/>
                <w:sz w:val="18"/>
              </w:rPr>
              <w:tab/>
              <w:tab/>
            </w:r>
            <w:r>
              <w:rPr>
                <w:i/>
                <w:color w:val="231F20"/>
                <w:sz w:val="18"/>
                <w:u w:val="single" w:color="231F20"/>
              </w:rPr>
              <w:t>contenu</w:t>
            </w:r>
            <w:r>
              <w:rPr>
                <w:i/>
                <w:color w:val="231F20"/>
                <w:sz w:val="18"/>
              </w:rPr>
              <w:tab/>
            </w:r>
            <w:r>
              <w:rPr>
                <w:i/>
                <w:color w:val="231F20"/>
                <w:sz w:val="18"/>
                <w:u w:val="single" w:color="231F20"/>
              </w:rPr>
              <w:t>1 dose = # </w:t>
            </w:r>
            <w:r>
              <w:rPr>
                <w:i/>
                <w:color w:val="231F20"/>
                <w:spacing w:val="-4"/>
                <w:sz w:val="18"/>
                <w:u w:val="single" w:color="231F20"/>
              </w:rPr>
              <w:t>cps</w:t>
            </w:r>
            <w:r>
              <w:rPr>
                <w:i/>
                <w:color w:val="231F20"/>
                <w:spacing w:val="-4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Nouveau-nés</w:t>
              <w:tab/>
            </w:r>
            <w:r>
              <w:rPr>
                <w:color w:val="231F20"/>
                <w:sz w:val="18"/>
              </w:rPr>
              <w:t>2 -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z w:val="18"/>
              </w:rPr>
              <w:t>11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mois</w:t>
              <w:tab/>
              <w:t>4.5 - </w:t>
            </w:r>
            <w:r>
              <w:rPr>
                <w:color w:val="231F20"/>
                <w:spacing w:val="8"/>
                <w:sz w:val="18"/>
              </w:rPr>
              <w:t> </w:t>
            </w:r>
            <w:r>
              <w:rPr>
                <w:color w:val="231F20"/>
                <w:sz w:val="18"/>
              </w:rPr>
              <w:t>8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kg</w:t>
              <w:tab/>
              <w:t>Cp : 25mg AS + 67.5</w:t>
            </w:r>
            <w:r>
              <w:rPr>
                <w:color w:val="231F20"/>
                <w:spacing w:val="20"/>
                <w:sz w:val="18"/>
              </w:rPr>
              <w:t> </w:t>
            </w:r>
            <w:r>
              <w:rPr>
                <w:color w:val="231F20"/>
                <w:sz w:val="18"/>
              </w:rPr>
              <w:t>mg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AQ</w:t>
              <w:tab/>
              <w:tab/>
              <w:t>1 dose = 1</w:t>
            </w:r>
            <w:r>
              <w:rPr>
                <w:color w:val="231F20"/>
                <w:spacing w:val="13"/>
                <w:sz w:val="18"/>
              </w:rPr>
              <w:t> </w:t>
            </w:r>
            <w:r>
              <w:rPr>
                <w:color w:val="231F20"/>
                <w:sz w:val="18"/>
              </w:rPr>
              <w:t>cp</w:t>
            </w:r>
          </w:p>
          <w:p>
            <w:pPr>
              <w:pStyle w:val="TableParagraph"/>
              <w:tabs>
                <w:tab w:pos="2603" w:val="left" w:leader="none"/>
                <w:tab w:pos="3975" w:val="left" w:leader="none"/>
                <w:tab w:pos="4990" w:val="left" w:leader="none"/>
                <w:tab w:pos="7666" w:val="left" w:leader="none"/>
              </w:tabs>
              <w:spacing w:line="205" w:lineRule="exact" w:before="0"/>
              <w:ind w:left="258"/>
              <w:rPr>
                <w:sz w:val="18"/>
              </w:rPr>
            </w:pPr>
            <w:r>
              <w:rPr>
                <w:b/>
                <w:color w:val="231F20"/>
                <w:sz w:val="18"/>
              </w:rPr>
              <w:t>Jeunes</w:t>
            </w:r>
            <w:r>
              <w:rPr>
                <w:b/>
                <w:color w:val="231F20"/>
                <w:spacing w:val="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enfants</w:t>
              <w:tab/>
            </w:r>
            <w:r>
              <w:rPr>
                <w:color w:val="231F20"/>
                <w:sz w:val="18"/>
              </w:rPr>
              <w:t>1 -  </w:t>
            </w:r>
            <w:r>
              <w:rPr>
                <w:color w:val="231F20"/>
                <w:spacing w:val="7"/>
                <w:sz w:val="18"/>
              </w:rPr>
              <w:t> </w:t>
            </w:r>
            <w:r>
              <w:rPr>
                <w:color w:val="231F20"/>
                <w:sz w:val="18"/>
              </w:rPr>
              <w:t>5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ans</w:t>
              <w:tab/>
              <w:t>9 -</w:t>
            </w:r>
            <w:r>
              <w:rPr>
                <w:color w:val="231F20"/>
                <w:spacing w:val="5"/>
                <w:sz w:val="18"/>
              </w:rPr>
              <w:t> </w:t>
            </w:r>
            <w:r>
              <w:rPr>
                <w:color w:val="231F20"/>
                <w:sz w:val="18"/>
              </w:rPr>
              <w:t>17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kg</w:t>
              <w:tab/>
              <w:t>Cp : 50mg AS + 135 </w:t>
            </w:r>
            <w:r>
              <w:rPr>
                <w:color w:val="231F20"/>
                <w:spacing w:val="17"/>
                <w:sz w:val="18"/>
              </w:rPr>
              <w:t> </w:t>
            </w:r>
            <w:r>
              <w:rPr>
                <w:color w:val="231F20"/>
                <w:sz w:val="18"/>
              </w:rPr>
              <w:t>mg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AQ</w:t>
              <w:tab/>
              <w:t>1 dose = 1</w:t>
            </w:r>
            <w:r>
              <w:rPr>
                <w:color w:val="231F20"/>
                <w:spacing w:val="11"/>
                <w:sz w:val="18"/>
              </w:rPr>
              <w:t> </w:t>
            </w:r>
            <w:r>
              <w:rPr>
                <w:color w:val="231F20"/>
                <w:sz w:val="18"/>
              </w:rPr>
              <w:t>cp</w:t>
            </w:r>
          </w:p>
          <w:p>
            <w:pPr>
              <w:pStyle w:val="TableParagraph"/>
              <w:tabs>
                <w:tab w:pos="2551" w:val="left" w:leader="none"/>
                <w:tab w:pos="3594" w:val="left" w:leader="none"/>
                <w:tab w:pos="3713" w:val="left" w:leader="none"/>
                <w:tab w:pos="4915" w:val="left" w:leader="none"/>
                <w:tab w:pos="5032" w:val="left" w:leader="none"/>
                <w:tab w:pos="7645" w:val="left" w:leader="none"/>
              </w:tabs>
              <w:spacing w:line="285" w:lineRule="auto" w:before="42"/>
              <w:ind w:left="235" w:right="353" w:firstLine="1241"/>
              <w:rPr>
                <w:b/>
                <w:sz w:val="18"/>
              </w:rPr>
            </w:pPr>
            <w:r>
              <w:rPr>
                <w:i/>
                <w:color w:val="231F20"/>
                <w:sz w:val="18"/>
              </w:rPr>
              <w:t>Pour les petits enfants on peut écraser les comprimer et les diluer dans l’eau propre </w:t>
            </w:r>
            <w:r>
              <w:rPr>
                <w:b/>
                <w:color w:val="231F20"/>
                <w:sz w:val="18"/>
              </w:rPr>
              <w:t>Enfants</w:t>
              <w:tab/>
            </w:r>
            <w:r>
              <w:rPr>
                <w:color w:val="231F20"/>
                <w:sz w:val="18"/>
              </w:rPr>
              <w:t>6 -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13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ans</w:t>
              <w:tab/>
              <w:t>18-35</w:t>
            </w:r>
            <w:r>
              <w:rPr>
                <w:color w:val="231F20"/>
                <w:spacing w:val="11"/>
                <w:sz w:val="18"/>
              </w:rPr>
              <w:t> </w:t>
            </w:r>
            <w:r>
              <w:rPr>
                <w:color w:val="231F20"/>
                <w:sz w:val="18"/>
              </w:rPr>
              <w:t>kg</w:t>
              <w:tab/>
              <w:t>Cp : 100mg AS +</w:t>
            </w:r>
            <w:r>
              <w:rPr>
                <w:color w:val="231F20"/>
                <w:spacing w:val="21"/>
                <w:sz w:val="18"/>
              </w:rPr>
              <w:t> </w:t>
            </w:r>
            <w:r>
              <w:rPr>
                <w:color w:val="231F20"/>
                <w:sz w:val="18"/>
              </w:rPr>
              <w:t>270mg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z w:val="18"/>
              </w:rPr>
              <w:t>AQ</w:t>
              <w:tab/>
              <w:t>1 dose = 1 cp </w:t>
            </w:r>
            <w:r>
              <w:rPr>
                <w:b/>
                <w:color w:val="231F20"/>
                <w:sz w:val="18"/>
              </w:rPr>
              <w:t>Adolescentes</w:t>
            </w:r>
            <w:r>
              <w:rPr>
                <w:b/>
                <w:color w:val="231F20"/>
                <w:spacing w:val="1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+</w:t>
            </w:r>
            <w:r>
              <w:rPr>
                <w:b/>
                <w:color w:val="231F20"/>
                <w:spacing w:val="1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Adultes</w:t>
              <w:tab/>
            </w:r>
            <w:r>
              <w:rPr>
                <w:color w:val="231F20"/>
                <w:sz w:val="18"/>
              </w:rPr>
              <w:t>&gt;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13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z w:val="18"/>
              </w:rPr>
              <w:t>ans</w:t>
              <w:tab/>
              <w:tab/>
              <w:t>&gt;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35kg</w:t>
              <w:tab/>
              <w:tab/>
              <w:t>Cp : 100mg AS +</w:t>
            </w:r>
            <w:r>
              <w:rPr>
                <w:color w:val="231F20"/>
                <w:spacing w:val="18"/>
                <w:sz w:val="18"/>
              </w:rPr>
              <w:t> </w:t>
            </w:r>
            <w:r>
              <w:rPr>
                <w:color w:val="231F20"/>
                <w:sz w:val="18"/>
              </w:rPr>
              <w:t>270mg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z w:val="18"/>
              </w:rPr>
              <w:t>AQ</w:t>
              <w:tab/>
            </w:r>
            <w:r>
              <w:rPr>
                <w:b/>
                <w:color w:val="231F20"/>
                <w:sz w:val="18"/>
              </w:rPr>
              <w:t>1 dose = 2</w:t>
            </w:r>
            <w:r>
              <w:rPr>
                <w:b/>
                <w:color w:val="231F20"/>
                <w:spacing w:val="11"/>
                <w:sz w:val="18"/>
              </w:rPr>
              <w:t> </w:t>
            </w:r>
            <w:r>
              <w:rPr>
                <w:b/>
                <w:color w:val="231F20"/>
                <w:spacing w:val="-7"/>
                <w:sz w:val="18"/>
              </w:rPr>
              <w:t>cp</w:t>
            </w:r>
          </w:p>
        </w:tc>
      </w:tr>
      <w:tr>
        <w:trPr>
          <w:trHeight w:val="209" w:hRule="atLeast"/>
        </w:trPr>
        <w:tc>
          <w:tcPr>
            <w:tcW w:w="9179" w:type="dxa"/>
            <w:tcBorders>
              <w:top w:val="nil"/>
              <w:bottom w:val="nil"/>
            </w:tcBorders>
            <w:shd w:val="clear" w:color="auto" w:fill="DFE0E1"/>
          </w:tcPr>
          <w:p>
            <w:pPr>
              <w:pStyle w:val="TableParagraph"/>
              <w:spacing w:line="190" w:lineRule="exact" w:before="0"/>
              <w:ind w:left="132"/>
              <w:rPr>
                <w:i/>
                <w:sz w:val="18"/>
              </w:rPr>
            </w:pPr>
            <w:r>
              <w:rPr>
                <w:b/>
                <w:color w:val="231F20"/>
                <w:sz w:val="18"/>
              </w:rPr>
              <w:t>+ Traitement de la fièvre avec Paracétamol 500mg </w:t>
            </w:r>
            <w:r>
              <w:rPr>
                <w:i/>
                <w:color w:val="231F20"/>
                <w:sz w:val="18"/>
              </w:rPr>
              <w:t>(paracétamol 15 mg/kg toutes les 4 heures p. 3 à 5 jours</w:t>
            </w:r>
          </w:p>
        </w:tc>
      </w:tr>
      <w:tr>
        <w:trPr>
          <w:trHeight w:val="736" w:hRule="atLeast"/>
        </w:trPr>
        <w:tc>
          <w:tcPr>
            <w:tcW w:w="9179" w:type="dxa"/>
            <w:tcBorders>
              <w:top w:val="nil"/>
            </w:tcBorders>
          </w:tcPr>
          <w:p>
            <w:pPr>
              <w:pStyle w:val="TableParagraph"/>
              <w:tabs>
                <w:tab w:pos="1711" w:val="left" w:leader="none"/>
                <w:tab w:pos="3345" w:val="left" w:leader="none"/>
                <w:tab w:pos="4964" w:val="left" w:leader="none"/>
                <w:tab w:pos="7383" w:val="left" w:leader="none"/>
              </w:tabs>
              <w:spacing w:before="108"/>
              <w:ind w:left="130"/>
              <w:rPr>
                <w:sz w:val="20"/>
              </w:rPr>
            </w:pPr>
            <w:r>
              <w:rPr>
                <w:b/>
                <w:color w:val="231F20"/>
                <w:sz w:val="20"/>
              </w:rPr>
              <w:t>&lt; 3ans :</w:t>
            </w:r>
            <w:r>
              <w:rPr>
                <w:b/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¼</w:t>
            </w:r>
            <w:r>
              <w:rPr>
                <w:color w:val="231F20"/>
                <w:spacing w:val="-8"/>
                <w:sz w:val="20"/>
              </w:rPr>
              <w:t> </w:t>
            </w:r>
            <w:r>
              <w:rPr>
                <w:color w:val="231F20"/>
                <w:sz w:val="20"/>
              </w:rPr>
              <w:t>cp</w:t>
              <w:tab/>
            </w:r>
            <w:r>
              <w:rPr>
                <w:b/>
                <w:color w:val="231F20"/>
                <w:sz w:val="20"/>
              </w:rPr>
              <w:t>3 - 5 ans </w:t>
            </w:r>
            <w:r>
              <w:rPr>
                <w:color w:val="231F20"/>
                <w:sz w:val="20"/>
              </w:rPr>
              <w:t>: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½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cp</w:t>
              <w:tab/>
            </w:r>
            <w:r>
              <w:rPr>
                <w:b/>
                <w:color w:val="231F20"/>
                <w:sz w:val="20"/>
              </w:rPr>
              <w:t>6 – 9 ans </w:t>
            </w:r>
            <w:r>
              <w:rPr>
                <w:color w:val="231F20"/>
                <w:sz w:val="20"/>
              </w:rPr>
              <w:t>: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1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cp</w:t>
              <w:tab/>
            </w:r>
            <w:r>
              <w:rPr>
                <w:b/>
                <w:color w:val="231F20"/>
                <w:sz w:val="20"/>
              </w:rPr>
              <w:t>&gt; 10 - 14 ans : </w:t>
            </w:r>
            <w:r>
              <w:rPr>
                <w:color w:val="231F20"/>
                <w:sz w:val="20"/>
              </w:rPr>
              <w:t>1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½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cps</w:t>
              <w:tab/>
            </w:r>
            <w:r>
              <w:rPr>
                <w:b/>
                <w:color w:val="231F20"/>
                <w:sz w:val="20"/>
              </w:rPr>
              <w:t>&gt; 14 ans : </w:t>
            </w:r>
            <w:r>
              <w:rPr>
                <w:color w:val="231F20"/>
                <w:sz w:val="20"/>
              </w:rPr>
              <w:t>2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cps</w:t>
            </w:r>
          </w:p>
          <w:p>
            <w:pPr>
              <w:pStyle w:val="TableParagraph"/>
              <w:tabs>
                <w:tab w:pos="2784" w:val="left" w:leader="none"/>
              </w:tabs>
              <w:spacing w:before="113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+ BOIRE</w:t>
            </w:r>
            <w:r>
              <w:rPr>
                <w:b/>
                <w:color w:val="231F20"/>
                <w:spacing w:val="5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ABONDAMENT</w:t>
              <w:tab/>
              <w:t>+ CONTINUE à bien</w:t>
            </w:r>
            <w:r>
              <w:rPr>
                <w:b/>
                <w:color w:val="231F20"/>
                <w:spacing w:val="-1"/>
                <w:sz w:val="20"/>
              </w:rPr>
              <w:t> </w:t>
            </w:r>
            <w:r>
              <w:rPr>
                <w:b/>
                <w:color w:val="231F20"/>
                <w:sz w:val="20"/>
              </w:rPr>
              <w:t>manger</w:t>
            </w:r>
          </w:p>
        </w:tc>
      </w:tr>
    </w:tbl>
    <w:p>
      <w:pPr>
        <w:spacing w:before="109"/>
        <w:ind w:left="4082" w:right="0" w:firstLine="0"/>
        <w:jc w:val="left"/>
        <w:rPr>
          <w:b/>
          <w:sz w:val="20"/>
        </w:rPr>
      </w:pPr>
      <w:r>
        <w:rPr/>
        <w:pict>
          <v:rect style="position:absolute;margin-left:101.026924pt;margin-top:-14.918466pt;width:448.669214pt;height:11.43234pt;mso-position-horizontal-relative:page;mso-position-vertical-relative:paragraph;z-index:-251847680" filled="true" fillcolor="#dfe0e1" stroked="false">
            <v:fill type="solid"/>
            <w10:wrap type="none"/>
          </v:rect>
        </w:pict>
      </w:r>
      <w:r>
        <w:rPr>
          <w:b/>
          <w:color w:val="231F20"/>
          <w:sz w:val="20"/>
          <w:u w:val="thick" w:color="231F20"/>
        </w:rPr>
        <w:t>Quelques Conseils utiles :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57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Peser les malades et spécialement les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enfants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Les comprimés doivent être avalés avec beaucoup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d’eau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La première dose doit être prise en présence de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prestataire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3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Si vomissement à &lt; 30 minutes après la prise d’une dose, donner à nouveau la même</w:t>
      </w:r>
      <w:r>
        <w:rPr>
          <w:color w:val="231F20"/>
          <w:spacing w:val="35"/>
          <w:sz w:val="18"/>
        </w:rPr>
        <w:t> </w:t>
      </w:r>
      <w:r>
        <w:rPr>
          <w:color w:val="231F20"/>
          <w:sz w:val="18"/>
        </w:rPr>
        <w:t>dose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Si vomissement à &gt; 30 minutes et &lt; 60 minutes après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la prise d’une dose, donner encore 1/2 d’une dose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2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Si vomissement au delà d’une heure, observation </w:t>
      </w:r>
      <w:r>
        <w:rPr>
          <w:color w:val="231F20"/>
          <w:sz w:val="18"/>
          <w:u w:val="single" w:color="231F20"/>
        </w:rPr>
        <w:t>pendant quelques</w:t>
      </w:r>
      <w:r>
        <w:rPr>
          <w:color w:val="231F20"/>
          <w:spacing w:val="16"/>
          <w:sz w:val="18"/>
          <w:u w:val="single" w:color="231F20"/>
        </w:rPr>
        <w:t> </w:t>
      </w:r>
      <w:r>
        <w:rPr>
          <w:color w:val="231F20"/>
          <w:sz w:val="18"/>
          <w:u w:val="single" w:color="231F20"/>
        </w:rPr>
        <w:t>heures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Expliquez au malade / accompagnateur les doses à prendre à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domicile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3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Vérifier que le malade / accompagnateur a bien compris et faire répéter devant vous la</w:t>
      </w:r>
      <w:r>
        <w:rPr>
          <w:color w:val="231F20"/>
          <w:spacing w:val="42"/>
          <w:sz w:val="18"/>
        </w:rPr>
        <w:t> </w:t>
      </w:r>
      <w:r>
        <w:rPr>
          <w:color w:val="231F20"/>
          <w:sz w:val="18"/>
        </w:rPr>
        <w:t>posologie.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Pour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les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femmes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allaitantes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: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continuer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donner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les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seins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bébé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même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si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pris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médicaments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4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Si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l’état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général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du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malade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altère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1-2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jours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après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fin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cure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prescrite,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revenir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immédiatement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CDS.</w:t>
      </w:r>
    </w:p>
    <w:p>
      <w:pPr>
        <w:pStyle w:val="ListParagraph"/>
        <w:numPr>
          <w:ilvl w:val="0"/>
          <w:numId w:val="2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79" w:right="0" w:hanging="297"/>
        <w:jc w:val="left"/>
        <w:rPr>
          <w:sz w:val="18"/>
        </w:rPr>
      </w:pPr>
      <w:r>
        <w:rPr>
          <w:color w:val="231F20"/>
          <w:sz w:val="18"/>
        </w:rPr>
        <w:t>Faire baisser la température (enveloppement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humide)</w:t>
      </w:r>
    </w:p>
    <w:p>
      <w:pPr>
        <w:pStyle w:val="BodyText"/>
        <w:spacing w:before="7"/>
        <w:rPr>
          <w:sz w:val="24"/>
        </w:rPr>
      </w:pPr>
      <w:r>
        <w:rPr/>
        <w:pict>
          <v:shape style="position:absolute;margin-left:99.743164pt;margin-top:16.463972pt;width:451.4pt;height:14pt;mso-position-horizontal-relative:page;mso-position-vertical-relative:paragraph;z-index:-251657216;mso-wrap-distance-left:0;mso-wrap-distance-right:0" type="#_x0000_t202" filled="true" fillcolor="#dfe0e1" stroked="true" strokeweight=".700313pt" strokecolor="#231f20">
            <v:textbox inset="0,0,0,0">
              <w:txbxContent>
                <w:p>
                  <w:pPr>
                    <w:spacing w:before="20"/>
                    <w:ind w:left="1941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Contre- indication de traitement AS + AQ et Traitement alternatif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ind w:left="852"/>
        <w:rPr>
          <w:sz w:val="20"/>
        </w:rPr>
      </w:pPr>
      <w:r>
        <w:rPr>
          <w:position w:val="0"/>
          <w:sz w:val="20"/>
        </w:rPr>
        <w:pict>
          <v:shape style="width:446.3pt;height:182.5pt;mso-position-horizontal-relative:char;mso-position-vertical-relative:line" type="#_x0000_t202" filled="false" stroked="true" strokeweight=".700313pt" strokecolor="#231f20">
            <w10:anchorlock/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19" w:val="left" w:leader="none"/>
                    </w:tabs>
                    <w:spacing w:before="18"/>
                    <w:ind w:left="318" w:right="0" w:hanging="204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Les </w:t>
                  </w: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femmes enceintes au premier trimestre de</w:t>
                  </w:r>
                  <w:r>
                    <w:rPr>
                      <w:b/>
                      <w:color w:val="231F20"/>
                      <w:spacing w:val="9"/>
                      <w:sz w:val="18"/>
                      <w:u w:val="thick" w:color="231F20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grossesse</w:t>
                  </w:r>
                </w:p>
                <w:p>
                  <w:pPr>
                    <w:pStyle w:val="BodyText"/>
                    <w:spacing w:before="54"/>
                    <w:ind w:left="166"/>
                    <w:rPr>
                      <w:b/>
                    </w:rPr>
                  </w:pPr>
                  <w:r>
                    <w:rPr>
                      <w:color w:val="231F20"/>
                    </w:rPr>
                    <w:t>QUININE ORALE (cp 500mg) 3x 1cp /j p. 7 jours ET CLINDAMYCINE 75mg ou 150mg 1x 1gél/j p. 7 </w:t>
                  </w:r>
                  <w:r>
                    <w:rPr>
                      <w:b/>
                      <w:color w:val="231F20"/>
                    </w:rPr>
                    <w:t>jours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19" w:val="left" w:leader="none"/>
                    </w:tabs>
                    <w:spacing w:before="59"/>
                    <w:ind w:left="318" w:right="0" w:hanging="204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  <w:u w:val="single" w:color="231F20"/>
                    </w:rPr>
                    <w:t>Les personnes vivant avec le VIH et qui sont sous traitement</w:t>
                  </w:r>
                  <w:r>
                    <w:rPr>
                      <w:b/>
                      <w:color w:val="231F20"/>
                      <w:spacing w:val="19"/>
                      <w:sz w:val="18"/>
                      <w:u w:val="single" w:color="231F20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  <w:u w:val="single" w:color="231F20"/>
                    </w:rPr>
                    <w:t>ARV</w:t>
                  </w:r>
                </w:p>
                <w:p>
                  <w:pPr>
                    <w:pStyle w:val="BodyText"/>
                    <w:spacing w:before="59"/>
                    <w:ind w:left="166"/>
                  </w:pPr>
                  <w:r>
                    <w:rPr>
                      <w:color w:val="231F20"/>
                    </w:rPr>
                    <w:t>QUININE ORALE (cp 500mg) 3x 1cp /j p. 7 jours ET CLINDAMYCINE 75mg ou 150mg 1x 1gél/j p. 7 jours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19" w:val="left" w:leader="none"/>
                    </w:tabs>
                    <w:spacing w:before="57"/>
                    <w:ind w:left="318" w:right="0" w:hanging="204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Les patients souffrant de malnutrition</w:t>
                  </w:r>
                  <w:r>
                    <w:rPr>
                      <w:b/>
                      <w:color w:val="231F20"/>
                      <w:spacing w:val="6"/>
                      <w:sz w:val="18"/>
                      <w:u w:val="thick" w:color="231F20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sévère</w:t>
                  </w:r>
                </w:p>
                <w:p>
                  <w:pPr>
                    <w:pStyle w:val="BodyText"/>
                    <w:spacing w:before="56"/>
                    <w:ind w:left="115"/>
                  </w:pPr>
                  <w:r>
                    <w:rPr>
                      <w:color w:val="231F20"/>
                    </w:rPr>
                    <w:t>QUININE ORALE p. 7 jours ET CLINDAMYCINE p. 7 jours en fonction du poids.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19" w:val="left" w:leader="none"/>
                    </w:tabs>
                    <w:spacing w:before="59"/>
                    <w:ind w:left="318" w:right="0" w:hanging="204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Les </w:t>
                  </w:r>
                  <w:r>
                    <w:rPr>
                      <w:b/>
                      <w:color w:val="231F20"/>
                      <w:sz w:val="18"/>
                      <w:u w:val="single" w:color="231F20"/>
                    </w:rPr>
                    <w:t>enfants de &lt; de 5 kg ou de &lt; 2 mois</w:t>
                  </w:r>
                  <w:r>
                    <w:rPr>
                      <w:b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:</w:t>
                  </w:r>
                </w:p>
                <w:p>
                  <w:pPr>
                    <w:pStyle w:val="BodyText"/>
                    <w:spacing w:before="59"/>
                    <w:ind w:left="115"/>
                  </w:pPr>
                  <w:r>
                    <w:rPr>
                      <w:color w:val="231F20"/>
                    </w:rPr>
                    <w:t>REFERER après injection d’ARTESUNATE injectable IM ou suppositoires. (2,4 mg/kg de poids)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21" w:val="left" w:leader="none"/>
                    </w:tabs>
                    <w:spacing w:before="59"/>
                    <w:ind w:left="320" w:right="0" w:hanging="206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Tout patient qui </w:t>
                  </w: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ne guérit pas</w:t>
                  </w:r>
                  <w:r>
                    <w:rPr>
                      <w:b/>
                      <w:color w:val="231F20"/>
                      <w:sz w:val="18"/>
                    </w:rPr>
                    <w:t> malgré qu’il ait pris correctement</w:t>
                  </w:r>
                  <w:r>
                    <w:rPr>
                      <w:b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l’ASAQ</w:t>
                  </w:r>
                </w:p>
                <w:p>
                  <w:pPr>
                    <w:pStyle w:val="BodyText"/>
                    <w:spacing w:before="57"/>
                    <w:ind w:left="115"/>
                    <w:rPr>
                      <w:b/>
                    </w:rPr>
                  </w:pPr>
                  <w:r>
                    <w:rPr>
                      <w:color w:val="231F20"/>
                    </w:rPr>
                    <w:t>REFERER après injection d’ARTESUNATE injectable IM ou suppositoires. (2,4 mg/kg de poids</w:t>
                  </w:r>
                  <w:r>
                    <w:rPr>
                      <w:b/>
                      <w:color w:val="231F20"/>
                    </w:rPr>
                    <w:t>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21" w:val="left" w:leader="none"/>
                    </w:tabs>
                    <w:spacing w:line="242" w:lineRule="auto" w:before="57"/>
                    <w:ind w:left="115" w:right="407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Tout patient avec un </w:t>
                  </w:r>
                  <w:r>
                    <w:rPr>
                      <w:b/>
                      <w:color w:val="231F20"/>
                      <w:sz w:val="18"/>
                      <w:u w:val="single" w:color="231F20"/>
                    </w:rPr>
                    <w:t>paludisme grave</w:t>
                  </w:r>
                  <w:r>
                    <w:rPr>
                      <w:b/>
                      <w:color w:val="231F20"/>
                      <w:sz w:val="18"/>
                    </w:rPr>
                    <w:t> - </w:t>
                  </w:r>
                  <w:r>
                    <w:rPr>
                      <w:color w:val="231F20"/>
                      <w:sz w:val="18"/>
                    </w:rPr>
                    <w:t>( ARTESUNATE injectable ou suppositoires : 2,4 mg/kg de poids)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19" w:val="left" w:leader="none"/>
                    </w:tabs>
                    <w:spacing w:before="57"/>
                    <w:ind w:left="318" w:right="0" w:hanging="204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Les voyageurs, en particulier ceux venant d’Asie et d’Amérique</w:t>
                  </w:r>
                  <w:r>
                    <w:rPr>
                      <w:b/>
                      <w:color w:val="231F20"/>
                      <w:spacing w:val="20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latine</w:t>
                  </w:r>
                </w:p>
                <w:p>
                  <w:pPr>
                    <w:pStyle w:val="BodyText"/>
                    <w:spacing w:before="62"/>
                    <w:ind w:left="115"/>
                  </w:pPr>
                  <w:r>
                    <w:rPr>
                      <w:color w:val="231F20"/>
                    </w:rPr>
                    <w:t>QUININE ORALE (cp 500mg) 3x 1cp /j p. 7 jours ET CLINDAMYCINE 75mg ou 150mg 1x 1gél/j p. 7 jours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7"/>
        </w:rPr>
      </w:pPr>
    </w:p>
    <w:p>
      <w:pPr>
        <w:pStyle w:val="BodyText"/>
        <w:spacing w:line="164" w:lineRule="exact" w:before="110"/>
        <w:ind w:left="1631" w:right="1103"/>
        <w:jc w:val="center"/>
        <w:rPr>
          <w:rFonts w:ascii="Times New Roman"/>
        </w:rPr>
      </w:pPr>
      <w:r>
        <w:rPr>
          <w:rFonts w:ascii="Times New Roman"/>
          <w:color w:val="231F20"/>
        </w:rPr>
        <w:t>77</w:t>
      </w:r>
    </w:p>
    <w:p>
      <w:pPr>
        <w:tabs>
          <w:tab w:pos="2488" w:val="left" w:leader="none"/>
        </w:tabs>
        <w:spacing w:line="164" w:lineRule="exact" w:before="0"/>
        <w:ind w:left="818" w:right="0" w:firstLine="0"/>
        <w:jc w:val="left"/>
        <w:rPr>
          <w:b/>
          <w:i/>
          <w:sz w:val="18"/>
        </w:rPr>
      </w:pPr>
      <w:r>
        <w:rPr>
          <w:b/>
          <w:i/>
          <w:color w:val="231F20"/>
          <w:sz w:val="18"/>
        </w:rPr>
        <w:t>Paludism</w:t>
      </w:r>
      <w:r>
        <w:rPr>
          <w:b/>
          <w:i/>
          <w:color w:val="231F20"/>
          <w:spacing w:val="3"/>
          <w:sz w:val="18"/>
        </w:rPr>
        <w:t> </w:t>
      </w:r>
      <w:r>
        <w:rPr>
          <w:b/>
          <w:i/>
          <w:color w:val="231F20"/>
          <w:sz w:val="18"/>
        </w:rPr>
        <w:t>grave</w:t>
        <w:tab/>
        <w:t>page</w:t>
      </w:r>
      <w:r>
        <w:rPr>
          <w:b/>
          <w:i/>
          <w:color w:val="231F20"/>
          <w:spacing w:val="2"/>
          <w:sz w:val="18"/>
        </w:rPr>
        <w:t> </w:t>
      </w:r>
      <w:r>
        <w:rPr>
          <w:b/>
          <w:i/>
          <w:color w:val="231F20"/>
          <w:sz w:val="18"/>
        </w:rPr>
        <w:t>suivante</w:t>
      </w:r>
    </w:p>
    <w:p>
      <w:pPr>
        <w:spacing w:after="0" w:line="164" w:lineRule="exact"/>
        <w:jc w:val="left"/>
        <w:rPr>
          <w:sz w:val="18"/>
        </w:rPr>
        <w:sectPr>
          <w:type w:val="continuous"/>
          <w:pgSz w:w="11900" w:h="16840"/>
          <w:pgMar w:top="1600" w:bottom="280" w:left="1200" w:right="680"/>
        </w:sectPr>
      </w:pPr>
    </w:p>
    <w:p>
      <w:pPr>
        <w:pStyle w:val="Heading1"/>
        <w:numPr>
          <w:ilvl w:val="0"/>
          <w:numId w:val="1"/>
        </w:numPr>
        <w:tabs>
          <w:tab w:pos="4034" w:val="left" w:leader="none"/>
        </w:tabs>
        <w:spacing w:line="240" w:lineRule="auto" w:before="126" w:after="0"/>
        <w:ind w:left="4033" w:right="455" w:hanging="4034"/>
        <w:jc w:val="left"/>
        <w:rPr>
          <w:u w:val="none"/>
        </w:rPr>
      </w:pPr>
      <w:r>
        <w:rPr>
          <w:color w:val="231F20"/>
          <w:shd w:fill="DFE0E1" w:color="auto" w:val="clear"/>
          <w:u w:val="thick" w:color="231F20"/>
        </w:rPr>
        <w:t>Paludisme</w:t>
      </w:r>
      <w:r>
        <w:rPr>
          <w:color w:val="231F20"/>
          <w:spacing w:val="-2"/>
          <w:shd w:fill="DFE0E1" w:color="auto" w:val="clear"/>
          <w:u w:val="thick" w:color="231F20"/>
        </w:rPr>
        <w:t> </w:t>
      </w:r>
      <w:r>
        <w:rPr>
          <w:color w:val="231F20"/>
          <w:shd w:fill="DFE0E1" w:color="auto" w:val="clear"/>
          <w:u w:val="thick" w:color="231F20"/>
        </w:rPr>
        <w:t>grave</w:t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2826" w:val="left" w:leader="none"/>
        </w:tabs>
        <w:spacing w:before="70"/>
        <w:ind w:left="883" w:right="0" w:firstLine="0"/>
        <w:jc w:val="left"/>
        <w:rPr>
          <w:b/>
          <w:sz w:val="20"/>
        </w:rPr>
      </w:pPr>
      <w:r>
        <w:rPr>
          <w:i/>
          <w:color w:val="231F20"/>
          <w:sz w:val="20"/>
          <w:u w:val="single" w:color="231F20"/>
        </w:rPr>
        <w:t>Signes</w:t>
      </w:r>
      <w:r>
        <w:rPr>
          <w:i/>
          <w:color w:val="231F20"/>
          <w:spacing w:val="1"/>
          <w:sz w:val="20"/>
          <w:u w:val="single" w:color="231F20"/>
        </w:rPr>
        <w:t> </w:t>
      </w:r>
      <w:r>
        <w:rPr>
          <w:i/>
          <w:color w:val="231F20"/>
          <w:sz w:val="20"/>
          <w:u w:val="single" w:color="231F20"/>
        </w:rPr>
        <w:t>suivants</w:t>
      </w:r>
      <w:r>
        <w:rPr>
          <w:i/>
          <w:color w:val="231F20"/>
          <w:spacing w:val="1"/>
          <w:sz w:val="20"/>
          <w:u w:val="single" w:color="231F20"/>
        </w:rPr>
        <w:t> </w:t>
      </w:r>
      <w:r>
        <w:rPr>
          <w:i/>
          <w:color w:val="231F20"/>
          <w:sz w:val="20"/>
          <w:u w:val="single" w:color="231F20"/>
        </w:rPr>
        <w:t>:</w:t>
      </w:r>
      <w:r>
        <w:rPr>
          <w:i/>
          <w:color w:val="231F20"/>
          <w:sz w:val="20"/>
        </w:rPr>
        <w:tab/>
      </w:r>
      <w:r>
        <w:rPr>
          <w:b/>
          <w:color w:val="231F20"/>
          <w:sz w:val="20"/>
        </w:rPr>
        <w:t>Vomissements à</w:t>
      </w:r>
      <w:r>
        <w:rPr>
          <w:b/>
          <w:color w:val="231F20"/>
          <w:spacing w:val="2"/>
          <w:sz w:val="20"/>
        </w:rPr>
        <w:t> </w:t>
      </w:r>
      <w:r>
        <w:rPr>
          <w:b/>
          <w:color w:val="231F20"/>
          <w:sz w:val="20"/>
        </w:rPr>
        <w:t>répétition,</w:t>
      </w:r>
    </w:p>
    <w:p>
      <w:pPr>
        <w:pStyle w:val="Heading2"/>
        <w:spacing w:before="59"/>
        <w:ind w:left="2827"/>
      </w:pPr>
      <w:r>
        <w:rPr>
          <w:color w:val="231F20"/>
        </w:rPr>
        <w:t>Urines coca cola,</w:t>
      </w:r>
    </w:p>
    <w:p>
      <w:pPr>
        <w:spacing w:line="300" w:lineRule="auto" w:before="55"/>
        <w:ind w:left="2827" w:right="402" w:hanging="1"/>
        <w:jc w:val="left"/>
        <w:rPr>
          <w:b/>
          <w:sz w:val="20"/>
        </w:rPr>
      </w:pPr>
      <w:r>
        <w:rPr>
          <w:b/>
          <w:color w:val="231F20"/>
          <w:sz w:val="20"/>
        </w:rPr>
        <w:t>Anémie sévère </w:t>
      </w:r>
      <w:r>
        <w:rPr>
          <w:color w:val="231F20"/>
          <w:sz w:val="20"/>
        </w:rPr>
        <w:t>(pâleur des conjonctives, et des paumes de la main)</w:t>
      </w:r>
      <w:r>
        <w:rPr>
          <w:b/>
          <w:color w:val="231F20"/>
          <w:sz w:val="20"/>
        </w:rPr>
        <w:t>, Incapacité de téter </w:t>
      </w:r>
      <w:r>
        <w:rPr>
          <w:color w:val="231F20"/>
          <w:sz w:val="20"/>
        </w:rPr>
        <w:t>ou </w:t>
      </w:r>
      <w:r>
        <w:rPr>
          <w:b/>
          <w:color w:val="231F20"/>
          <w:sz w:val="20"/>
        </w:rPr>
        <w:t>de boire,</w:t>
      </w:r>
    </w:p>
    <w:p>
      <w:pPr>
        <w:pStyle w:val="Heading2"/>
        <w:spacing w:line="229" w:lineRule="exact"/>
        <w:ind w:left="2827"/>
      </w:pPr>
      <w:r>
        <w:rPr/>
        <w:pict>
          <v:shape style="position:absolute;margin-left:102.951569pt;margin-top:14.578859pt;width:403.5pt;height:44.95pt;mso-position-horizontal-relative:page;mso-position-vertical-relative:paragraph;z-index:-251653120;mso-wrap-distance-left:0;mso-wrap-distance-right:0" type="#_x0000_t202" filled="false" stroked="true" strokeweight=".699844pt" strokecolor="#231f20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6"/>
                    </w:rPr>
                  </w:pPr>
                </w:p>
                <w:p>
                  <w:pPr>
                    <w:spacing w:line="292" w:lineRule="auto" w:before="0"/>
                    <w:ind w:left="341" w:right="94" w:hanging="21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REFERER urgent après injection d’ARTESUNATE injectable IM ou supp. (2,4 mg/kg poids) et </w:t>
                  </w:r>
                  <w:r>
                    <w:rPr>
                      <w:b/>
                      <w:i/>
                      <w:color w:val="231F20"/>
                      <w:sz w:val="18"/>
                      <w:u w:val="thick" w:color="231F20"/>
                    </w:rPr>
                    <w:t>chez l’enfant de &lt; 5 ans </w:t>
                  </w:r>
                  <w:r>
                    <w:rPr>
                      <w:b/>
                      <w:color w:val="231F20"/>
                      <w:sz w:val="18"/>
                      <w:u w:val="thick" w:color="231F20"/>
                    </w:rPr>
                    <w:t>avec coma ou convulsion</w:t>
                  </w:r>
                  <w:r>
                    <w:rPr>
                      <w:b/>
                      <w:color w:val="231F20"/>
                      <w:sz w:val="18"/>
                    </w:rPr>
                    <w:t> un traitement avec Glucose 10%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31F20"/>
        </w:rPr>
        <w:t>Trouble de Conscience, Coma* / </w:t>
      </w:r>
      <w:r>
        <w:rPr>
          <w:b w:val="0"/>
          <w:color w:val="231F20"/>
        </w:rPr>
        <w:t>état de </w:t>
      </w:r>
      <w:r>
        <w:rPr>
          <w:color w:val="231F20"/>
        </w:rPr>
        <w:t>choc</w:t>
      </w:r>
    </w:p>
    <w:p>
      <w:pPr>
        <w:pStyle w:val="BodyText"/>
        <w:spacing w:before="6"/>
        <w:rPr>
          <w:b/>
          <w:sz w:val="14"/>
        </w:rPr>
      </w:pPr>
    </w:p>
    <w:p>
      <w:pPr>
        <w:spacing w:before="69"/>
        <w:ind w:left="883" w:right="0" w:firstLine="0"/>
        <w:jc w:val="left"/>
        <w:rPr>
          <w:b/>
          <w:sz w:val="20"/>
        </w:rPr>
      </w:pPr>
      <w:r>
        <w:rPr>
          <w:color w:val="231F20"/>
          <w:sz w:val="20"/>
          <w:u w:val="thick" w:color="231F20"/>
        </w:rPr>
        <w:t>*Pour le cas de </w:t>
      </w:r>
      <w:r>
        <w:rPr>
          <w:b/>
          <w:color w:val="231F20"/>
          <w:sz w:val="20"/>
          <w:u w:val="thick" w:color="231F20"/>
        </w:rPr>
        <w:t>coma / convulsions chez l’enfant</w:t>
      </w:r>
    </w:p>
    <w:p>
      <w:pPr>
        <w:spacing w:before="52"/>
        <w:ind w:left="883" w:right="0" w:firstLine="0"/>
        <w:jc w:val="left"/>
        <w:rPr>
          <w:b/>
          <w:sz w:val="22"/>
        </w:rPr>
      </w:pPr>
      <w:r>
        <w:rPr>
          <w:color w:val="231F20"/>
          <w:sz w:val="22"/>
        </w:rPr>
        <w:t>Lorsque la glycémie ne peut pas être mesurée, </w:t>
      </w:r>
      <w:r>
        <w:rPr>
          <w:b/>
          <w:color w:val="231F20"/>
          <w:sz w:val="22"/>
        </w:rPr>
        <w:t>l’hypoglycémie doit être supposée présente chez tous les enfants dans le coma ou qui ont des convulsions.</w:t>
      </w:r>
    </w:p>
    <w:p>
      <w:pPr>
        <w:spacing w:before="108"/>
        <w:ind w:left="883" w:right="0" w:firstLine="0"/>
        <w:jc w:val="left"/>
        <w:rPr>
          <w:sz w:val="22"/>
        </w:rPr>
      </w:pPr>
      <w:r>
        <w:rPr>
          <w:color w:val="231F20"/>
          <w:sz w:val="22"/>
        </w:rPr>
        <w:t>AUSSI </w:t>
      </w:r>
      <w:r>
        <w:rPr>
          <w:b/>
          <w:color w:val="231F20"/>
          <w:sz w:val="22"/>
        </w:rPr>
        <w:t>elle doit être traitée </w:t>
      </w:r>
      <w:r>
        <w:rPr>
          <w:color w:val="231F20"/>
          <w:sz w:val="22"/>
        </w:rPr>
        <w:t>!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883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Quantité de sérum glucosé à 10% à administrer selon l’âge</w:t>
      </w:r>
    </w:p>
    <w:p>
      <w:pPr>
        <w:pStyle w:val="BodyText"/>
        <w:spacing w:before="1"/>
        <w:rPr>
          <w:i/>
          <w:sz w:val="10"/>
        </w:rPr>
      </w:pPr>
    </w:p>
    <w:tbl>
      <w:tblPr>
        <w:tblW w:w="0" w:type="auto"/>
        <w:jc w:val="left"/>
        <w:tblInd w:w="172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4464"/>
      </w:tblGrid>
      <w:tr>
        <w:trPr>
          <w:trHeight w:val="680" w:hRule="atLeast"/>
        </w:trPr>
        <w:tc>
          <w:tcPr>
            <w:tcW w:w="2636" w:type="dxa"/>
          </w:tcPr>
          <w:p>
            <w:pPr>
              <w:pStyle w:val="TableParagraph"/>
              <w:ind w:left="87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Age/poids</w:t>
            </w:r>
          </w:p>
        </w:tc>
        <w:tc>
          <w:tcPr>
            <w:tcW w:w="4464" w:type="dxa"/>
          </w:tcPr>
          <w:p>
            <w:pPr>
              <w:pStyle w:val="TableParagraph"/>
              <w:ind w:left="778" w:right="76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Volume de soluté de glucose à 10%</w:t>
            </w:r>
          </w:p>
          <w:p>
            <w:pPr>
              <w:pStyle w:val="TableParagraph"/>
              <w:spacing w:before="3"/>
              <w:ind w:left="775" w:right="76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à administrer en bolus (5 ml/kg)</w:t>
            </w:r>
          </w:p>
        </w:tc>
      </w:tr>
      <w:tr>
        <w:trPr>
          <w:trHeight w:val="318" w:hRule="atLeast"/>
        </w:trPr>
        <w:tc>
          <w:tcPr>
            <w:tcW w:w="2636" w:type="dxa"/>
          </w:tcPr>
          <w:p>
            <w:pPr>
              <w:pStyle w:val="TableParagraph"/>
              <w:spacing w:line="192" w:lineRule="exact"/>
              <w:ind w:left="6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Moins de 2 mois (&lt;4kg)</w:t>
            </w:r>
          </w:p>
        </w:tc>
        <w:tc>
          <w:tcPr>
            <w:tcW w:w="4464" w:type="dxa"/>
          </w:tcPr>
          <w:p>
            <w:pPr>
              <w:pStyle w:val="TableParagraph"/>
              <w:spacing w:line="192" w:lineRule="exact"/>
              <w:ind w:right="198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15 ml</w:t>
            </w:r>
          </w:p>
        </w:tc>
      </w:tr>
      <w:tr>
        <w:trPr>
          <w:trHeight w:val="331" w:hRule="atLeast"/>
        </w:trPr>
        <w:tc>
          <w:tcPr>
            <w:tcW w:w="2636" w:type="dxa"/>
          </w:tcPr>
          <w:p>
            <w:pPr>
              <w:pStyle w:val="TableParagraph"/>
              <w:spacing w:line="203" w:lineRule="exact" w:before="109"/>
              <w:ind w:left="6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&lt;4 mois (4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&lt;6 kg)</w:t>
            </w:r>
          </w:p>
        </w:tc>
        <w:tc>
          <w:tcPr>
            <w:tcW w:w="4464" w:type="dxa"/>
          </w:tcPr>
          <w:p>
            <w:pPr>
              <w:pStyle w:val="TableParagraph"/>
              <w:spacing w:line="204" w:lineRule="exact"/>
              <w:ind w:right="198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25 ml</w:t>
            </w:r>
          </w:p>
        </w:tc>
      </w:tr>
      <w:tr>
        <w:trPr>
          <w:trHeight w:val="332" w:hRule="atLeast"/>
        </w:trPr>
        <w:tc>
          <w:tcPr>
            <w:tcW w:w="2636" w:type="dxa"/>
          </w:tcPr>
          <w:p>
            <w:pPr>
              <w:pStyle w:val="TableParagraph"/>
              <w:spacing w:line="203" w:lineRule="exact" w:before="110"/>
              <w:ind w:left="6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&lt;12 mois (6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&lt;10 kg)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 w:before="108"/>
              <w:ind w:right="198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40 ml</w:t>
            </w:r>
          </w:p>
        </w:tc>
      </w:tr>
      <w:tr>
        <w:trPr>
          <w:trHeight w:val="332" w:hRule="atLeast"/>
        </w:trPr>
        <w:tc>
          <w:tcPr>
            <w:tcW w:w="2636" w:type="dxa"/>
          </w:tcPr>
          <w:p>
            <w:pPr>
              <w:pStyle w:val="TableParagraph"/>
              <w:spacing w:line="203" w:lineRule="exact" w:before="110"/>
              <w:ind w:left="6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&lt;3 ans (10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&lt;14 kg)</w:t>
            </w:r>
          </w:p>
        </w:tc>
        <w:tc>
          <w:tcPr>
            <w:tcW w:w="4464" w:type="dxa"/>
          </w:tcPr>
          <w:p>
            <w:pPr>
              <w:pStyle w:val="TableParagraph"/>
              <w:spacing w:before="106"/>
              <w:ind w:right="198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60 ml</w:t>
            </w:r>
          </w:p>
        </w:tc>
      </w:tr>
      <w:tr>
        <w:trPr>
          <w:trHeight w:val="332" w:hRule="atLeast"/>
        </w:trPr>
        <w:tc>
          <w:tcPr>
            <w:tcW w:w="2636" w:type="dxa"/>
          </w:tcPr>
          <w:p>
            <w:pPr>
              <w:pStyle w:val="TableParagraph"/>
              <w:spacing w:line="203" w:lineRule="exact" w:before="110"/>
              <w:ind w:left="6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&lt;5 ans (14 </w:t>
            </w:r>
            <w:r>
              <w:rPr>
                <w:rFonts w:ascii="Symbol" w:hAnsi="Symbol"/>
                <w:b/>
                <w:color w:val="231F20"/>
                <w:sz w:val="18"/>
              </w:rPr>
              <w:t></w:t>
            </w:r>
            <w:r>
              <w:rPr>
                <w:rFonts w:ascii="Times New Roman" w:hAnsi="Times New Roman"/>
                <w:b/>
                <w:color w:val="231F20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&lt;19 kg)</w:t>
            </w:r>
          </w:p>
        </w:tc>
        <w:tc>
          <w:tcPr>
            <w:tcW w:w="4464" w:type="dxa"/>
          </w:tcPr>
          <w:p>
            <w:pPr>
              <w:pStyle w:val="TableParagraph"/>
              <w:spacing w:line="204" w:lineRule="exact" w:before="108"/>
              <w:ind w:right="1984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80 ml</w:t>
            </w:r>
          </w:p>
        </w:tc>
      </w:tr>
    </w:tbl>
    <w:p>
      <w:pPr>
        <w:pStyle w:val="BodyText"/>
        <w:rPr>
          <w:i/>
          <w:sz w:val="23"/>
        </w:rPr>
      </w:pPr>
    </w:p>
    <w:p>
      <w:pPr>
        <w:spacing w:line="242" w:lineRule="auto" w:before="0"/>
        <w:ind w:left="554" w:right="402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NB : si le Glucosé 10% est disponible et déjà utilisé pour la perfusion de la quinine, un bolus n’est plus </w:t>
      </w:r>
      <w:r>
        <w:rPr>
          <w:i/>
          <w:color w:val="231F20"/>
          <w:sz w:val="18"/>
        </w:rPr>
        <w:t>nécessaire.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</w:rPr>
      </w:pPr>
      <w:r>
        <w:rPr/>
        <w:pict>
          <v:shape style="position:absolute;margin-left:118.99176pt;margin-top:12.000916pt;width:380.35pt;height:10.75pt;mso-position-horizontal-relative:page;mso-position-vertical-relative:paragraph;z-index:-251652096;mso-wrap-distance-left:0;mso-wrap-distance-right:0" type="#_x0000_t202" filled="true" fillcolor="#dfe0e1" stroked="false">
            <v:textbox inset="0,0,0,0">
              <w:txbxContent>
                <w:p>
                  <w:pPr>
                    <w:spacing w:line="209" w:lineRule="exact" w:before="6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3. Cas de non réponse ou de l’échec du traitement de la 1</w:t>
                  </w:r>
                  <w:r>
                    <w:rPr>
                      <w:b/>
                      <w:color w:val="231F20"/>
                      <w:sz w:val="20"/>
                      <w:vertAlign w:val="superscript"/>
                    </w:rPr>
                    <w:t>iere</w:t>
                  </w:r>
                  <w:r>
                    <w:rPr>
                      <w:b/>
                      <w:color w:val="231F20"/>
                      <w:sz w:val="20"/>
                      <w:vertAlign w:val="baseline"/>
                    </w:rPr>
                    <w:t> intention - </w:t>
                  </w:r>
                  <w:r>
                    <w:rPr>
                      <w:b/>
                      <w:color w:val="231F20"/>
                      <w:spacing w:val="-3"/>
                      <w:sz w:val="20"/>
                      <w:vertAlign w:val="baseline"/>
                    </w:rPr>
                    <w:t>AS </w:t>
                  </w:r>
                  <w:r>
                    <w:rPr>
                      <w:b/>
                      <w:color w:val="231F20"/>
                      <w:sz w:val="20"/>
                      <w:vertAlign w:val="baseline"/>
                    </w:rPr>
                    <w:t>+ </w:t>
                  </w:r>
                  <w:r>
                    <w:rPr>
                      <w:b/>
                      <w:color w:val="231F20"/>
                      <w:spacing w:val="-11"/>
                      <w:sz w:val="20"/>
                      <w:vertAlign w:val="baseline"/>
                    </w:rPr>
                    <w:t>AQ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i/>
          <w:sz w:val="24"/>
        </w:rPr>
      </w:pPr>
    </w:p>
    <w:p>
      <w:pPr>
        <w:pStyle w:val="Heading2"/>
        <w:spacing w:before="69"/>
      </w:pPr>
      <w:r>
        <w:rPr/>
        <w:pict>
          <v:rect style="position:absolute;margin-left:118.99176pt;margin-top:-14.585238pt;width:380.307612pt;height:1.167187pt;mso-position-horizontal-relative:page;mso-position-vertical-relative:paragraph;z-index:251666432" filled="true" fillcolor="#231f20" stroked="false">
            <v:fill type="solid"/>
            <w10:wrap type="none"/>
          </v:rect>
        </w:pict>
      </w:r>
      <w:r>
        <w:rPr>
          <w:color w:val="231F20"/>
        </w:rPr>
        <w:t>Non-réponse à l’ASAQ</w:t>
      </w:r>
    </w:p>
    <w:p>
      <w:pPr>
        <w:pStyle w:val="BodyText"/>
        <w:spacing w:before="58"/>
        <w:ind w:left="883"/>
      </w:pPr>
      <w:r>
        <w:rPr>
          <w:color w:val="231F20"/>
        </w:rPr>
        <w:t>Traitement de deuxième ligne avec la Quinine + Clindamycine pendant 7jours</w:t>
      </w:r>
    </w:p>
    <w:p>
      <w:pPr>
        <w:pStyle w:val="Heading2"/>
        <w:spacing w:before="58"/>
      </w:pPr>
      <w:r>
        <w:rPr>
          <w:color w:val="231F20"/>
        </w:rPr>
        <w:t>Echec</w:t>
      </w:r>
    </w:p>
    <w:p>
      <w:pPr>
        <w:pStyle w:val="ListParagraph"/>
        <w:numPr>
          <w:ilvl w:val="0"/>
          <w:numId w:val="4"/>
        </w:numPr>
        <w:tabs>
          <w:tab w:pos="1530" w:val="left" w:leader="none"/>
        </w:tabs>
        <w:spacing w:line="244" w:lineRule="auto" w:before="55" w:after="0"/>
        <w:ind w:left="1541" w:right="350" w:hanging="329"/>
        <w:jc w:val="both"/>
        <w:rPr>
          <w:sz w:val="18"/>
        </w:rPr>
      </w:pPr>
      <w:r>
        <w:rPr>
          <w:b/>
          <w:color w:val="231F20"/>
          <w:sz w:val="18"/>
        </w:rPr>
        <w:t>Le patient revient dans les 14 jours après traitement </w:t>
      </w:r>
      <w:r>
        <w:rPr>
          <w:color w:val="231F20"/>
          <w:sz w:val="18"/>
        </w:rPr>
        <w:t>correct et complet avec AS + AQ pour persistance ou recrudescence des symptômes, échec thérapeutique probable doit être envisage et après un nouvel examen physique et nouvel anamnèse complète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:</w:t>
      </w:r>
    </w:p>
    <w:p>
      <w:pPr>
        <w:pStyle w:val="BodyText"/>
        <w:spacing w:before="109"/>
        <w:ind w:left="1574" w:right="402"/>
      </w:pPr>
      <w:r>
        <w:rPr>
          <w:b/>
          <w:color w:val="231F20"/>
        </w:rPr>
        <w:t>REFERER à l’hôpital </w:t>
      </w:r>
      <w:r>
        <w:rPr>
          <w:color w:val="231F20"/>
        </w:rPr>
        <w:t>pour traitement après injection d’ARTESUNATE injectable IM  ou  suppositoires (2,4 mg/kg de</w:t>
      </w:r>
      <w:r>
        <w:rPr>
          <w:color w:val="231F20"/>
          <w:spacing w:val="-1"/>
        </w:rPr>
        <w:t> </w:t>
      </w:r>
      <w:r>
        <w:rPr>
          <w:color w:val="231F20"/>
        </w:rPr>
        <w:t>poids).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27" w:val="left" w:leader="none"/>
        </w:tabs>
        <w:spacing w:line="242" w:lineRule="auto" w:before="118" w:after="0"/>
        <w:ind w:left="2253" w:right="2180" w:hanging="1370"/>
        <w:jc w:val="left"/>
        <w:rPr>
          <w:sz w:val="18"/>
        </w:rPr>
      </w:pPr>
      <w:r>
        <w:rPr>
          <w:b/>
          <w:color w:val="231F20"/>
          <w:sz w:val="18"/>
        </w:rPr>
        <w:t>Si le patient revient &gt;14 jours après traitement </w:t>
      </w:r>
      <w:r>
        <w:rPr>
          <w:color w:val="231F20"/>
          <w:sz w:val="18"/>
        </w:rPr>
        <w:t>correct et complet avec AS + AQ ET la goutte d’épaisse est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positive</w:t>
      </w:r>
    </w:p>
    <w:p>
      <w:pPr>
        <w:spacing w:before="58"/>
        <w:ind w:left="1389" w:right="0" w:firstLine="0"/>
        <w:jc w:val="left"/>
        <w:rPr>
          <w:sz w:val="18"/>
        </w:rPr>
      </w:pPr>
      <w:r>
        <w:rPr/>
        <w:pict>
          <v:shape style="position:absolute;margin-left:65.970444pt;margin-top:19.275375pt;width:473.45pt;height:40.4pt;mso-position-horizontal-relative:page;mso-position-vertical-relative:paragraph;z-index:-251651072;mso-wrap-distance-left:0;mso-wrap-distance-right:0" type="#_x0000_t202" filled="false" stroked="true" strokeweight=".584063pt" strokecolor="#231f20">
            <v:textbox inset="0,0,0,0">
              <w:txbxContent>
                <w:p>
                  <w:pPr>
                    <w:spacing w:line="240" w:lineRule="auto" w:before="16"/>
                    <w:ind w:left="263" w:right="97" w:firstLine="21"/>
                    <w:jc w:val="both"/>
                    <w:rPr>
                      <w:i/>
                      <w:sz w:val="22"/>
                    </w:rPr>
                  </w:pPr>
                  <w:r>
                    <w:rPr>
                      <w:i/>
                      <w:color w:val="231F20"/>
                      <w:sz w:val="22"/>
                    </w:rPr>
                    <w:t>Les traitements proposés sur ce FT suivent les recommandations du PNILP et les </w:t>
                  </w:r>
                  <w:r>
                    <w:rPr>
                      <w:i/>
                      <w:color w:val="231F20"/>
                      <w:sz w:val="22"/>
                    </w:rPr>
                    <w:t>orientations pour l’application du PMA aux CDS qui n’autorisent pas une hospitalisation du malade au CDS et limite la période d’observation à 48 heures. !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color w:val="231F20"/>
          <w:sz w:val="18"/>
        </w:rPr>
        <w:t>Le patient sera traité de nouveau avec AS + AQ </w:t>
      </w:r>
      <w:r>
        <w:rPr>
          <w:color w:val="231F20"/>
          <w:sz w:val="18"/>
        </w:rPr>
        <w:t>– traitement de première intention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110"/>
        <w:ind w:left="1631" w:right="1103"/>
        <w:jc w:val="center"/>
        <w:rPr>
          <w:rFonts w:ascii="Times New Roman"/>
        </w:rPr>
      </w:pPr>
      <w:r>
        <w:rPr>
          <w:rFonts w:ascii="Times New Roman"/>
          <w:color w:val="231F20"/>
        </w:rPr>
        <w:t>78</w:t>
      </w:r>
    </w:p>
    <w:sectPr>
      <w:pgSz w:w="11900" w:h="16840"/>
      <w:pgMar w:top="1600" w:bottom="280" w:left="12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)"/>
      <w:lvlJc w:val="left"/>
      <w:pPr>
        <w:ind w:left="1541" w:hanging="318"/>
        <w:jc w:val="right"/>
      </w:pPr>
      <w:rPr>
        <w:rFonts w:hint="default" w:ascii="Arial" w:hAnsi="Arial" w:eastAsia="Arial" w:cs="Arial"/>
        <w:b/>
        <w:bCs/>
        <w:color w:val="231F20"/>
        <w:spacing w:val="-6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388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6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4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32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6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4" w:hanging="31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8" w:hanging="203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179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8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7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6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5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4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4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3" w:hanging="20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79" w:hanging="297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064" w:hanging="2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8" w:hanging="2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2" w:hanging="2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6" w:hanging="2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2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2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8" w:hanging="2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2" w:hanging="29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4" w:hanging="243"/>
        <w:jc w:val="right"/>
      </w:pPr>
      <w:rPr>
        <w:rFonts w:hint="default" w:ascii="Arial" w:hAnsi="Arial" w:eastAsia="Arial" w:cs="Arial"/>
        <w:b/>
        <w:bCs/>
        <w:color w:val="231F20"/>
        <w:spacing w:val="-3"/>
        <w:w w:val="99"/>
        <w:sz w:val="22"/>
        <w:szCs w:val="22"/>
        <w:highlight w:val="lightGray"/>
        <w:u w:val="thick" w:color="231F20"/>
      </w:rPr>
    </w:lvl>
    <w:lvl w:ilvl="1">
      <w:start w:val="0"/>
      <w:numFmt w:val="bullet"/>
      <w:lvlText w:val="•"/>
      <w:lvlJc w:val="left"/>
      <w:pPr>
        <w:ind w:left="5088" w:hanging="2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36" w:hanging="2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84" w:hanging="2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32" w:hanging="2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80" w:hanging="2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8" w:hanging="2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6" w:hanging="2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4" w:hanging="243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4"/>
      <w:ind w:left="4033" w:hanging="4034"/>
      <w:outlineLvl w:val="1"/>
    </w:pPr>
    <w:rPr>
      <w:rFonts w:ascii="Arial" w:hAnsi="Arial" w:eastAsia="Arial" w:cs="Arial"/>
      <w:b/>
      <w:bCs/>
      <w:sz w:val="22"/>
      <w:szCs w:val="22"/>
      <w:u w:val="single" w:color="000000"/>
    </w:rPr>
  </w:style>
  <w:style w:styleId="Heading2" w:type="paragraph">
    <w:name w:val="Heading 2"/>
    <w:basedOn w:val="Normal"/>
    <w:uiPriority w:val="1"/>
    <w:qFormat/>
    <w:pPr>
      <w:ind w:left="883"/>
      <w:outlineLvl w:val="2"/>
    </w:pPr>
    <w:rPr>
      <w:rFonts w:ascii="Arial" w:hAnsi="Arial" w:eastAsia="Arial" w:cs="Arial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59"/>
      <w:ind w:left="318" w:hanging="204"/>
      <w:outlineLvl w:val="3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"/>
      <w:ind w:left="1179" w:hanging="29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2020-02-25T15:29:35Z</dcterms:created>
  <dcterms:modified xsi:type="dcterms:W3CDTF">2020-02-25T15:29:35Z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