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24"/>
        </w:rPr>
      </w:pPr>
    </w:p>
    <w:p>
      <w:pPr>
        <w:pStyle w:val="BodyText"/>
        <w:ind w:left="345"/>
        <w:rPr>
          <w:rFonts w:ascii="Times New Roman"/>
        </w:rPr>
      </w:pPr>
      <w:r>
        <w:rPr>
          <w:rFonts w:ascii="Times New Roman"/>
          <w:position w:val="0"/>
        </w:rPr>
        <w:pict>
          <v:shape style="width:444.25pt;height:17.3pt;mso-position-horizontal-relative:char;mso-position-vertical-relative:line" type="#_x0000_t202" filled="true" fillcolor="#e6e7e8" stroked="true" strokeweight=".700313pt" strokecolor="#231f20">
            <w10:anchorlock/>
            <v:textbox inset="0,0,0,0">
              <w:txbxContent>
                <w:p>
                  <w:pPr>
                    <w:spacing w:before="24"/>
                    <w:ind w:left="2637" w:right="2637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PARALYSIE FLASQUE AIGÜE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Heading1"/>
        <w:numPr>
          <w:ilvl w:val="0"/>
          <w:numId w:val="1"/>
        </w:numPr>
        <w:tabs>
          <w:tab w:pos="630" w:val="left" w:leader="none"/>
        </w:tabs>
        <w:spacing w:line="240" w:lineRule="auto" w:before="99" w:after="0"/>
        <w:ind w:left="629" w:right="0" w:hanging="227"/>
        <w:jc w:val="left"/>
        <w:rPr>
          <w:u w:val="none"/>
        </w:rPr>
      </w:pPr>
      <w:r>
        <w:rPr>
          <w:color w:val="231F20"/>
          <w:u w:val="thick" w:color="231F20"/>
        </w:rPr>
        <w:t>Définition : PFA = Paralysie flasque</w:t>
      </w:r>
      <w:r>
        <w:rPr>
          <w:color w:val="231F20"/>
          <w:spacing w:val="-11"/>
          <w:u w:val="thick" w:color="231F20"/>
        </w:rPr>
        <w:t> </w:t>
      </w:r>
      <w:r>
        <w:rPr>
          <w:color w:val="231F20"/>
          <w:u w:val="thick" w:color="231F20"/>
        </w:rPr>
        <w:t>aigue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BodyText"/>
        <w:spacing w:line="242" w:lineRule="auto" w:before="69"/>
        <w:ind w:left="403" w:right="96"/>
      </w:pPr>
      <w:r>
        <w:rPr>
          <w:color w:val="231F20"/>
        </w:rPr>
        <w:t>C’est toute manifestation paralytique flasque observée chez l’enfant de moins de 15 ans, peu importe le statut vaccinal.</w:t>
      </w:r>
    </w:p>
    <w:p>
      <w:pPr>
        <w:pStyle w:val="Heading1"/>
        <w:spacing w:before="163"/>
        <w:ind w:left="403" w:firstLine="0"/>
        <w:rPr>
          <w:u w:val="none"/>
        </w:rPr>
      </w:pPr>
      <w:r>
        <w:rPr>
          <w:color w:val="231F20"/>
          <w:u w:val="none"/>
        </w:rPr>
        <w:t>Quels cas faut-il notifier ?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42" w:lineRule="auto" w:before="55" w:after="0"/>
        <w:ind w:left="1061" w:right="406" w:hanging="329"/>
        <w:jc w:val="left"/>
        <w:rPr>
          <w:sz w:val="20"/>
        </w:rPr>
      </w:pPr>
      <w:r>
        <w:rPr>
          <w:color w:val="231F20"/>
          <w:sz w:val="20"/>
        </w:rPr>
        <w:t>Paralysie flasque ou molle d’un ou des membres à survenue brutale chez un enfant bien portant.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40" w:lineRule="auto" w:before="0" w:after="0"/>
        <w:ind w:left="1061" w:right="307" w:hanging="329"/>
        <w:jc w:val="left"/>
        <w:rPr>
          <w:sz w:val="20"/>
        </w:rPr>
      </w:pPr>
      <w:r>
        <w:rPr>
          <w:color w:val="231F20"/>
          <w:sz w:val="20"/>
        </w:rPr>
        <w:t>La paralysie s’installe progressivement en 3 jours et devient flasque quelque soit la cause qu’on puisse évoquer (traumatisme, piqûres,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etc.…).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40" w:lineRule="auto" w:before="0" w:after="0"/>
        <w:ind w:left="1061" w:right="0" w:hanging="330"/>
        <w:jc w:val="left"/>
        <w:rPr>
          <w:sz w:val="20"/>
        </w:rPr>
      </w:pPr>
      <w:r>
        <w:rPr>
          <w:color w:val="231F20"/>
          <w:sz w:val="20"/>
        </w:rPr>
        <w:t>Le traumatisme peut déclencher une paralysie qui était en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incubation.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40" w:lineRule="auto" w:before="0" w:after="0"/>
        <w:ind w:left="1061" w:right="0" w:hanging="330"/>
        <w:jc w:val="left"/>
        <w:rPr>
          <w:sz w:val="20"/>
        </w:rPr>
      </w:pPr>
      <w:r>
        <w:rPr>
          <w:color w:val="231F20"/>
          <w:sz w:val="20"/>
        </w:rPr>
        <w:t>Peut débuter par la fièvre mais la fièvre peut passer inaperçue si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fébricules.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40" w:lineRule="auto" w:before="0" w:after="0"/>
        <w:ind w:left="1061" w:right="0" w:hanging="330"/>
        <w:jc w:val="left"/>
        <w:rPr>
          <w:sz w:val="20"/>
        </w:rPr>
      </w:pPr>
      <w:r>
        <w:rPr>
          <w:color w:val="231F20"/>
          <w:sz w:val="20"/>
        </w:rPr>
        <w:t>Peut atteindre 1 membre, 2 membres ou 4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membres.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40" w:lineRule="auto" w:before="0" w:after="0"/>
        <w:ind w:left="1061" w:right="0" w:hanging="330"/>
        <w:jc w:val="left"/>
        <w:rPr>
          <w:sz w:val="20"/>
        </w:rPr>
      </w:pPr>
      <w:r>
        <w:rPr>
          <w:color w:val="231F20"/>
          <w:sz w:val="20"/>
        </w:rPr>
        <w:t>La paralysie peut être symétrique ou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asymétrique.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30" w:lineRule="exact" w:before="2" w:after="0"/>
        <w:ind w:left="1061" w:right="0" w:hanging="330"/>
        <w:jc w:val="left"/>
        <w:rPr>
          <w:sz w:val="20"/>
        </w:rPr>
      </w:pPr>
      <w:r>
        <w:rPr>
          <w:color w:val="231F20"/>
          <w:sz w:val="20"/>
        </w:rPr>
        <w:t>Une Impotence fonctionnelle du membre touché est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observée.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30" w:lineRule="exact" w:before="0" w:after="0"/>
        <w:ind w:left="1061" w:right="0" w:hanging="330"/>
        <w:jc w:val="left"/>
        <w:rPr>
          <w:sz w:val="20"/>
        </w:rPr>
      </w:pPr>
      <w:r>
        <w:rPr>
          <w:color w:val="231F20"/>
          <w:sz w:val="20"/>
        </w:rPr>
        <w:t>Il y a parésie ou faiblesse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musculaire.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40" w:lineRule="auto" w:before="3" w:after="0"/>
        <w:ind w:left="1061" w:right="0" w:hanging="330"/>
        <w:jc w:val="left"/>
        <w:rPr>
          <w:sz w:val="20"/>
        </w:rPr>
      </w:pPr>
      <w:r>
        <w:rPr>
          <w:color w:val="231F20"/>
          <w:sz w:val="20"/>
        </w:rPr>
        <w:t>Troubles de la marche non traumatique à type de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boiterie.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30" w:lineRule="exact" w:before="0" w:after="0"/>
        <w:ind w:left="1061" w:right="0" w:hanging="330"/>
        <w:jc w:val="left"/>
        <w:rPr>
          <w:sz w:val="20"/>
        </w:rPr>
      </w:pPr>
      <w:r>
        <w:rPr>
          <w:color w:val="231F20"/>
          <w:sz w:val="20"/>
        </w:rPr>
        <w:t>Perte de mouvements ou du tonus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musculaire.</w:t>
      </w:r>
    </w:p>
    <w:p>
      <w:pPr>
        <w:pStyle w:val="BodyText"/>
        <w:spacing w:line="229" w:lineRule="exact"/>
        <w:ind w:left="795"/>
      </w:pPr>
      <w:r>
        <w:rPr>
          <w:color w:val="231F20"/>
        </w:rPr>
        <w:t>Si impotence fonctionnelle au stade avancé il y a faiblesse musculaire.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ind w:left="403" w:firstLine="0"/>
        <w:rPr>
          <w:u w:val="none"/>
        </w:rPr>
      </w:pPr>
      <w:r>
        <w:rPr>
          <w:color w:val="231F20"/>
          <w:u w:val="thick" w:color="231F20"/>
        </w:rPr>
        <w:t>NOTIFICATION / Circuit de l’information sanitaire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before="69"/>
        <w:ind w:left="403"/>
      </w:pPr>
      <w:r>
        <w:rPr>
          <w:color w:val="231F20"/>
          <w:u w:val="single" w:color="231F20"/>
        </w:rPr>
        <w:t>Aviser le District Sanitaire</w:t>
      </w:r>
      <w:r>
        <w:rPr>
          <w:color w:val="231F20"/>
        </w:rPr>
        <w:t> pour tout cas observé: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57" w:after="0"/>
        <w:ind w:left="751" w:right="0" w:hanging="125"/>
        <w:jc w:val="left"/>
        <w:rPr>
          <w:sz w:val="20"/>
        </w:rPr>
      </w:pPr>
      <w:r>
        <w:rPr>
          <w:color w:val="231F20"/>
          <w:sz w:val="20"/>
        </w:rPr>
        <w:t>Chef de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District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57" w:after="0"/>
        <w:ind w:left="751" w:right="0" w:hanging="125"/>
        <w:jc w:val="left"/>
        <w:rPr>
          <w:sz w:val="20"/>
        </w:rPr>
      </w:pPr>
      <w:r>
        <w:rPr>
          <w:color w:val="231F20"/>
          <w:sz w:val="20"/>
        </w:rPr>
        <w:t>Point focal PFA au niveau du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District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54" w:after="0"/>
        <w:ind w:left="751" w:right="0" w:hanging="125"/>
        <w:jc w:val="left"/>
        <w:rPr>
          <w:sz w:val="20"/>
        </w:rPr>
      </w:pPr>
      <w:r>
        <w:rPr>
          <w:color w:val="231F20"/>
          <w:sz w:val="20"/>
        </w:rPr>
        <w:t>Le cas doit figurer dans le registre d’une structure sanitaire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57" w:after="0"/>
        <w:ind w:left="751" w:right="0" w:hanging="125"/>
        <w:jc w:val="left"/>
        <w:rPr>
          <w:sz w:val="20"/>
        </w:rPr>
      </w:pPr>
      <w:r>
        <w:rPr>
          <w:color w:val="231F20"/>
          <w:sz w:val="20"/>
        </w:rPr>
        <w:t>Aviser le Chef de District et/ou le Point Focal PFA avant l’acheminement des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échantillons.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40" w:lineRule="auto" w:before="55" w:after="0"/>
        <w:ind w:left="695" w:right="0" w:hanging="125"/>
        <w:jc w:val="left"/>
        <w:rPr>
          <w:sz w:val="20"/>
        </w:rPr>
      </w:pPr>
      <w:r>
        <w:rPr>
          <w:color w:val="231F20"/>
          <w:sz w:val="20"/>
        </w:rPr>
        <w:t>La copie de la fiche numérotée par le PEV doit être classée dans la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structure.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40" w:lineRule="auto" w:before="55" w:after="0"/>
        <w:ind w:left="695" w:right="0" w:hanging="125"/>
        <w:jc w:val="left"/>
        <w:rPr>
          <w:sz w:val="20"/>
        </w:rPr>
      </w:pPr>
      <w:r>
        <w:rPr>
          <w:color w:val="231F20"/>
          <w:sz w:val="20"/>
        </w:rPr>
        <w:t>L’autre copie est à remettre au District Sanitaire pour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classement.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403" w:right="147"/>
        <w:jc w:val="both"/>
      </w:pPr>
      <w:r>
        <w:rPr>
          <w:b/>
          <w:color w:val="231F20"/>
          <w:u w:val="thick" w:color="231F20"/>
        </w:rPr>
        <w:t>Riposte</w:t>
      </w:r>
      <w:r>
        <w:rPr>
          <w:b/>
          <w:color w:val="231F20"/>
        </w:rPr>
        <w:t> : </w:t>
      </w:r>
      <w:r>
        <w:rPr>
          <w:color w:val="231F20"/>
        </w:rPr>
        <w:t>Si un cas a été confirmé de Polio -dans un délai de 4 semaines il faut vacciner tous les enfants de moins de 15 ans ; vaccination de proximité sur toute la colline. Organiser la vaccination porte à porte à trois tours espacées d’un mois. C’est le programme national qui va prendre le leadership pour l’action.</w:t>
      </w: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630" w:val="left" w:leader="none"/>
        </w:tabs>
        <w:spacing w:line="240" w:lineRule="auto" w:before="0" w:after="0"/>
        <w:ind w:left="629" w:right="0" w:hanging="227"/>
        <w:jc w:val="left"/>
        <w:rPr>
          <w:u w:val="none"/>
        </w:rPr>
      </w:pPr>
      <w:r>
        <w:rPr>
          <w:color w:val="231F20"/>
          <w:u w:val="thick" w:color="231F20"/>
        </w:rPr>
        <w:t>Signes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cliniques</w:t>
      </w:r>
    </w:p>
    <w:p>
      <w:pPr>
        <w:pStyle w:val="BodyText"/>
        <w:spacing w:line="242" w:lineRule="auto" w:before="110"/>
        <w:ind w:left="403" w:right="96"/>
      </w:pPr>
      <w:r>
        <w:rPr>
          <w:color w:val="231F20"/>
          <w:u w:val="single" w:color="231F20"/>
        </w:rPr>
        <w:t>La mère se présente</w:t>
      </w:r>
      <w:r>
        <w:rPr>
          <w:color w:val="231F20"/>
        </w:rPr>
        <w:t> souvent à la consultation parce que l’enfant ne s’assoit plus ou ne marche plus.</w:t>
      </w:r>
    </w:p>
    <w:p>
      <w:pPr>
        <w:pStyle w:val="BodyText"/>
        <w:spacing w:before="110"/>
        <w:ind w:left="403"/>
      </w:pPr>
      <w:r>
        <w:rPr>
          <w:color w:val="231F20"/>
          <w:u w:val="single" w:color="231F20"/>
        </w:rPr>
        <w:t>A l’examen</w:t>
      </w:r>
      <w:r>
        <w:rPr>
          <w:color w:val="231F20"/>
        </w:rPr>
        <w:t>, on trouve :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57" w:after="0"/>
        <w:ind w:left="566" w:right="152" w:hanging="164"/>
        <w:jc w:val="left"/>
        <w:rPr>
          <w:sz w:val="20"/>
        </w:rPr>
      </w:pPr>
      <w:r>
        <w:rPr>
          <w:color w:val="231F20"/>
          <w:sz w:val="20"/>
        </w:rPr>
        <w:t>paralysie flasque d’un ou plusieurs membres (le plus souvent une jambe), avec amyotrophie et abolition des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réflexes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40" w:lineRule="auto" w:before="56" w:after="0"/>
        <w:ind w:left="527" w:right="0" w:hanging="125"/>
        <w:jc w:val="left"/>
        <w:rPr>
          <w:sz w:val="20"/>
        </w:rPr>
      </w:pPr>
      <w:r>
        <w:rPr>
          <w:color w:val="231F20"/>
          <w:sz w:val="20"/>
        </w:rPr>
        <w:t>sensibilité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normale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352" w:lineRule="auto" w:before="57" w:after="0"/>
        <w:ind w:left="403" w:right="2293" w:firstLine="0"/>
        <w:jc w:val="left"/>
        <w:rPr>
          <w:sz w:val="20"/>
        </w:rPr>
      </w:pPr>
      <w:r>
        <w:rPr>
          <w:color w:val="231F20"/>
          <w:sz w:val="20"/>
        </w:rPr>
        <w:t>quelques jours auparavant : maladie avec fièvre, diarrhée, vomissements</w:t>
      </w:r>
      <w:r>
        <w:rPr>
          <w:color w:val="231F20"/>
          <w:sz w:val="20"/>
          <w:u w:val="single" w:color="231F20"/>
        </w:rPr>
        <w:t> Test diagnostic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:</w:t>
      </w:r>
    </w:p>
    <w:p>
      <w:pPr>
        <w:pStyle w:val="BodyText"/>
        <w:spacing w:line="181" w:lineRule="exact"/>
        <w:ind w:left="403"/>
      </w:pPr>
      <w:r>
        <w:rPr>
          <w:color w:val="231F20"/>
        </w:rPr>
        <w:t>Coucher l’enfant sur le dos, les jambes pliées et les pieds à plat sur la table ; la jambe atteinte</w:t>
      </w:r>
    </w:p>
    <w:p>
      <w:pPr>
        <w:pStyle w:val="BodyText"/>
        <w:spacing w:line="229" w:lineRule="exact"/>
        <w:ind w:left="403"/>
      </w:pPr>
      <w:r>
        <w:rPr>
          <w:color w:val="231F20"/>
        </w:rPr>
        <w:t>tombe si on lâche les genoux.</w:t>
      </w:r>
    </w:p>
    <w:p>
      <w:pPr>
        <w:spacing w:before="110"/>
        <w:ind w:left="2972" w:right="0" w:firstLine="0"/>
        <w:jc w:val="left"/>
        <w:rPr>
          <w:b/>
          <w:i/>
          <w:sz w:val="20"/>
        </w:rPr>
      </w:pPr>
      <w:r>
        <w:rPr>
          <w:b/>
          <w:i/>
          <w:color w:val="231F20"/>
          <w:sz w:val="20"/>
        </w:rPr>
        <w:t>La PEC se trouve sur la page suivante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00" w:h="16840"/>
          <w:pgMar w:footer="1738" w:top="1600" w:bottom="1920" w:left="1680" w:right="880"/>
          <w:pgNumType w:start="79"/>
        </w:sect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Heading1"/>
        <w:numPr>
          <w:ilvl w:val="0"/>
          <w:numId w:val="1"/>
        </w:numPr>
        <w:tabs>
          <w:tab w:pos="630" w:val="left" w:leader="none"/>
        </w:tabs>
        <w:spacing w:line="240" w:lineRule="auto" w:before="0" w:after="0"/>
        <w:ind w:left="629" w:right="0" w:hanging="227"/>
        <w:jc w:val="left"/>
        <w:rPr>
          <w:u w:val="none"/>
        </w:rPr>
      </w:pPr>
      <w:r>
        <w:rPr>
          <w:color w:val="231F20"/>
          <w:u w:val="thick" w:color="231F20"/>
        </w:rPr>
        <w:t>Prise en charge des cas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(PEC)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111" w:after="0"/>
        <w:ind w:left="662" w:right="0" w:hanging="260"/>
        <w:jc w:val="left"/>
        <w:rPr>
          <w:rFonts w:ascii="Symbol" w:hAnsi="Symbol"/>
          <w:color w:val="231F20"/>
          <w:sz w:val="20"/>
        </w:rPr>
      </w:pPr>
      <w:r>
        <w:rPr>
          <w:color w:val="231F20"/>
          <w:sz w:val="20"/>
        </w:rPr>
        <w:t>Traitement symptomatique de la fièvre et diarrhée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54" w:after="0"/>
        <w:ind w:left="662" w:right="0" w:hanging="260"/>
        <w:jc w:val="left"/>
        <w:rPr>
          <w:rFonts w:ascii="Symbol" w:hAnsi="Symbol"/>
          <w:color w:val="231F20"/>
          <w:sz w:val="20"/>
        </w:rPr>
      </w:pPr>
      <w:r>
        <w:rPr>
          <w:color w:val="231F20"/>
          <w:sz w:val="20"/>
        </w:rPr>
        <w:t>Repos et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nursing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56" w:after="0"/>
        <w:ind w:left="662" w:right="0" w:hanging="260"/>
        <w:jc w:val="left"/>
        <w:rPr>
          <w:rFonts w:ascii="Symbol" w:hAnsi="Symbol"/>
          <w:color w:val="231F20"/>
          <w:sz w:val="20"/>
        </w:rPr>
      </w:pPr>
      <w:r>
        <w:rPr>
          <w:color w:val="231F20"/>
          <w:sz w:val="20"/>
        </w:rPr>
        <w:t>Interdire les injections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IM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54" w:after="0"/>
        <w:ind w:left="662" w:right="150" w:hanging="259"/>
        <w:jc w:val="left"/>
        <w:rPr>
          <w:rFonts w:ascii="Symbol" w:hAnsi="Symbol"/>
          <w:color w:val="231F20"/>
          <w:sz w:val="20"/>
        </w:rPr>
      </w:pPr>
      <w:r>
        <w:rPr>
          <w:color w:val="231F20"/>
          <w:sz w:val="20"/>
        </w:rPr>
        <w:t>Référence le plus tôt possible (dès la fin des douleurs et avant 7 jours du début) pour KINESITHERAPIE et rééducation fonctionnelle (séjour de 2 à 3 semaines à l’hôpital), pour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:</w:t>
      </w:r>
    </w:p>
    <w:p>
      <w:pPr>
        <w:pStyle w:val="ListParagraph"/>
        <w:numPr>
          <w:ilvl w:val="1"/>
          <w:numId w:val="4"/>
        </w:numPr>
        <w:tabs>
          <w:tab w:pos="1050" w:val="left" w:leader="none"/>
        </w:tabs>
        <w:spacing w:line="240" w:lineRule="auto" w:before="54" w:after="0"/>
        <w:ind w:left="1049" w:right="0" w:hanging="257"/>
        <w:jc w:val="left"/>
        <w:rPr>
          <w:sz w:val="20"/>
        </w:rPr>
      </w:pPr>
      <w:r>
        <w:rPr>
          <w:color w:val="231F20"/>
          <w:sz w:val="20"/>
        </w:rPr>
        <w:t>prévenir les rétractions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vicieuses</w:t>
      </w:r>
    </w:p>
    <w:p>
      <w:pPr>
        <w:pStyle w:val="ListParagraph"/>
        <w:numPr>
          <w:ilvl w:val="1"/>
          <w:numId w:val="4"/>
        </w:numPr>
        <w:tabs>
          <w:tab w:pos="1050" w:val="left" w:leader="none"/>
        </w:tabs>
        <w:spacing w:line="240" w:lineRule="auto" w:before="56" w:after="0"/>
        <w:ind w:left="1049" w:right="0" w:hanging="257"/>
        <w:jc w:val="left"/>
        <w:rPr>
          <w:sz w:val="20"/>
        </w:rPr>
      </w:pPr>
      <w:r>
        <w:rPr>
          <w:color w:val="231F20"/>
          <w:sz w:val="20"/>
        </w:rPr>
        <w:t>diminuer la paralysie</w:t>
      </w:r>
    </w:p>
    <w:p>
      <w:pPr>
        <w:pStyle w:val="ListParagraph"/>
        <w:numPr>
          <w:ilvl w:val="1"/>
          <w:numId w:val="4"/>
        </w:numPr>
        <w:tabs>
          <w:tab w:pos="1050" w:val="left" w:leader="none"/>
        </w:tabs>
        <w:spacing w:line="240" w:lineRule="auto" w:before="56" w:after="0"/>
        <w:ind w:left="1049" w:right="0" w:hanging="257"/>
        <w:jc w:val="left"/>
        <w:rPr>
          <w:sz w:val="20"/>
        </w:rPr>
      </w:pPr>
      <w:r>
        <w:rPr>
          <w:color w:val="231F20"/>
          <w:sz w:val="20"/>
        </w:rPr>
        <w:t>envisager un appareillage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30" w:val="left" w:leader="none"/>
        </w:tabs>
        <w:spacing w:line="240" w:lineRule="auto" w:before="0" w:after="0"/>
        <w:ind w:left="629" w:right="0" w:hanging="227"/>
        <w:jc w:val="left"/>
        <w:rPr>
          <w:u w:val="none"/>
        </w:rPr>
      </w:pPr>
      <w:r>
        <w:rPr>
          <w:color w:val="231F20"/>
          <w:u w:val="thick" w:color="231F20"/>
        </w:rPr>
        <w:t>Mesures à</w:t>
      </w:r>
      <w:r>
        <w:rPr>
          <w:color w:val="231F20"/>
          <w:spacing w:val="2"/>
          <w:u w:val="thick" w:color="231F20"/>
        </w:rPr>
        <w:t> </w:t>
      </w:r>
      <w:r>
        <w:rPr>
          <w:color w:val="231F20"/>
          <w:u w:val="thick" w:color="231F20"/>
        </w:rPr>
        <w:t>prendre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114" w:after="0"/>
        <w:ind w:left="662" w:right="0" w:hanging="260"/>
        <w:jc w:val="left"/>
        <w:rPr>
          <w:rFonts w:ascii="Symbol" w:hAnsi="Symbol"/>
          <w:color w:val="231F20"/>
          <w:sz w:val="20"/>
        </w:rPr>
      </w:pPr>
      <w:r>
        <w:rPr>
          <w:color w:val="231F20"/>
          <w:sz w:val="20"/>
        </w:rPr>
        <w:t>Vaccination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53" w:after="0"/>
        <w:ind w:left="662" w:right="0" w:hanging="260"/>
        <w:jc w:val="left"/>
        <w:rPr>
          <w:rFonts w:ascii="Symbol" w:hAnsi="Symbol"/>
          <w:color w:val="231F20"/>
          <w:sz w:val="20"/>
        </w:rPr>
      </w:pPr>
      <w:r>
        <w:rPr>
          <w:color w:val="231F20"/>
          <w:sz w:val="20"/>
        </w:rPr>
        <w:t>Hygiène alimentaire et eau de boisson ;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assainissement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54" w:after="0"/>
        <w:ind w:left="662" w:right="0" w:hanging="260"/>
        <w:jc w:val="left"/>
        <w:rPr>
          <w:rFonts w:ascii="Symbol" w:hAnsi="Symbol"/>
          <w:color w:val="231F20"/>
          <w:sz w:val="20"/>
        </w:rPr>
      </w:pPr>
      <w:r>
        <w:rPr>
          <w:color w:val="231F20"/>
          <w:sz w:val="20"/>
        </w:rPr>
        <w:t>Information Education Communication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(IEC)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54" w:after="0"/>
        <w:ind w:left="662" w:right="0" w:hanging="260"/>
        <w:jc w:val="left"/>
        <w:rPr>
          <w:rFonts w:ascii="Symbol" w:hAnsi="Symbol"/>
          <w:color w:val="231F20"/>
          <w:sz w:val="20"/>
        </w:rPr>
      </w:pPr>
      <w:r>
        <w:rPr>
          <w:color w:val="231F20"/>
          <w:sz w:val="20"/>
        </w:rPr>
        <w:t>Prélèvement à adresser au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laboratoire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57" w:after="0"/>
        <w:ind w:left="662" w:right="0" w:hanging="260"/>
        <w:jc w:val="left"/>
        <w:rPr>
          <w:rFonts w:ascii="Symbol" w:hAnsi="Symbol"/>
          <w:color w:val="231F20"/>
          <w:sz w:val="18"/>
        </w:rPr>
      </w:pPr>
      <w:r>
        <w:rPr>
          <w:color w:val="231F20"/>
          <w:sz w:val="18"/>
        </w:rPr>
        <w:t>Effectuer un monitorage de la couverture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vaccinale.</w:t>
      </w:r>
    </w:p>
    <w:sectPr>
      <w:pgSz w:w="11900" w:h="16840"/>
      <w:pgMar w:header="0" w:footer="1738" w:top="1600" w:bottom="1920" w:left="16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177887pt;margin-top:744.103271pt;width:15.1pt;height:11.15pt;mso-position-horizontal-relative:page;mso-position-vertical-relative:page;z-index:-251765760" type="#_x0000_t202" filled="false" stroked="false">
          <v:textbox inset="0,0,0,0">
            <w:txbxContent>
              <w:p>
                <w:pPr>
                  <w:spacing w:line="192" w:lineRule="exact" w:before="30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"/>
      <w:lvlJc w:val="left"/>
      <w:pPr>
        <w:ind w:left="662" w:hanging="259"/>
      </w:pPr>
      <w:rPr>
        <w:rFonts w:hint="default"/>
        <w:w w:val="100"/>
      </w:rPr>
    </w:lvl>
    <w:lvl w:ilvl="1">
      <w:start w:val="0"/>
      <w:numFmt w:val="bullet"/>
      <w:lvlText w:val=""/>
      <w:lvlJc w:val="left"/>
      <w:pPr>
        <w:ind w:left="1049" w:hanging="257"/>
      </w:pPr>
      <w:rPr>
        <w:rFonts w:hint="default" w:ascii="Symbol" w:hAnsi="Symbol" w:eastAsia="Symbol" w:cs="Symbol"/>
        <w:color w:val="231F2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962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4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6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8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1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3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257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66" w:hanging="140"/>
      </w:pPr>
      <w:rPr>
        <w:rFonts w:hint="default" w:ascii="Arial" w:hAnsi="Arial" w:eastAsia="Arial" w:cs="Arial"/>
        <w:color w:val="231F20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143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16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4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2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8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6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4" w:hanging="14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51" w:hanging="124"/>
      </w:pPr>
      <w:rPr>
        <w:rFonts w:hint="default" w:ascii="Arial" w:hAnsi="Arial" w:eastAsia="Arial" w:cs="Arial"/>
        <w:color w:val="231F20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1618" w:hanging="1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6" w:hanging="1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4" w:hanging="1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1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0" w:hanging="1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8" w:hanging="1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6" w:hanging="1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12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9" w:hanging="227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1"/>
        <w:sz w:val="20"/>
        <w:szCs w:val="20"/>
        <w:u w:val="thick" w:color="231F20"/>
      </w:rPr>
    </w:lvl>
    <w:lvl w:ilvl="1">
      <w:start w:val="0"/>
      <w:numFmt w:val="bullet"/>
      <w:lvlText w:val="-"/>
      <w:lvlJc w:val="left"/>
      <w:pPr>
        <w:ind w:left="1061" w:hanging="329"/>
      </w:pPr>
      <w:rPr>
        <w:rFonts w:hint="default" w:ascii="Times New Roman" w:hAnsi="Times New Roman" w:eastAsia="Times New Roman" w:cs="Times New Roman"/>
        <w:color w:val="231F20"/>
        <w:w w:val="101"/>
        <w:sz w:val="20"/>
        <w:szCs w:val="20"/>
      </w:rPr>
    </w:lvl>
    <w:lvl w:ilvl="2">
      <w:start w:val="0"/>
      <w:numFmt w:val="bullet"/>
      <w:lvlText w:val="•"/>
      <w:lvlJc w:val="left"/>
      <w:pPr>
        <w:ind w:left="198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0" w:hanging="32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629" w:hanging="227"/>
      <w:outlineLvl w:val="1"/>
    </w:pPr>
    <w:rPr>
      <w:rFonts w:ascii="Arial" w:hAnsi="Arial" w:eastAsia="Arial" w:cs="Arial"/>
      <w:b/>
      <w:bCs/>
      <w:sz w:val="20"/>
      <w:szCs w:val="20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061" w:hanging="33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2020-02-25T15:29:53Z</dcterms:created>
  <dcterms:modified xsi:type="dcterms:W3CDTF">2020-02-25T15:29:53Z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