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11"/>
        </w:rPr>
      </w:pPr>
    </w:p>
    <w:p>
      <w:pPr>
        <w:pStyle w:val="BodyText"/>
        <w:ind w:left="345"/>
        <w:rPr>
          <w:rFonts w:ascii="Times New Roman"/>
        </w:rPr>
      </w:pPr>
      <w:r>
        <w:rPr>
          <w:rFonts w:ascii="Times New Roman"/>
          <w:position w:val="0"/>
        </w:rPr>
        <w:pict>
          <v:shapetype id="_x0000_t202" o:spt="202" coordsize="21600,21600" path="m,l,21600r21600,l21600,xe">
            <v:stroke joinstyle="miter"/>
            <v:path gradientshapeok="t" o:connecttype="rect"/>
          </v:shapetype>
          <v:shape style="width:444.25pt;height:17.25pt;mso-position-horizontal-relative:char;mso-position-vertical-relative:line" type="#_x0000_t202" filled="true" fillcolor="#e6e7e8" stroked="true" strokeweight=".700313pt" strokecolor="#231f20">
            <w10:anchorlock/>
            <v:textbox inset="0,0,0,0">
              <w:txbxContent>
                <w:p>
                  <w:pPr>
                    <w:spacing w:before="23"/>
                    <w:ind w:left="3699" w:right="3700" w:firstLine="0"/>
                    <w:jc w:val="center"/>
                    <w:rPr>
                      <w:b/>
                      <w:sz w:val="25"/>
                    </w:rPr>
                  </w:pPr>
                  <w:r>
                    <w:rPr>
                      <w:b/>
                      <w:color w:val="231F20"/>
                      <w:sz w:val="25"/>
                    </w:rPr>
                    <w:t>ROUGEOLE</w:t>
                  </w:r>
                </w:p>
              </w:txbxContent>
            </v:textbox>
            <v:fill type="solid"/>
            <v:stroke dashstyle="solid"/>
          </v:shape>
        </w:pict>
      </w:r>
      <w:r>
        <w:rPr>
          <w:rFonts w:ascii="Times New Roman"/>
          <w:position w:val="0"/>
        </w:rPr>
      </w:r>
    </w:p>
    <w:p>
      <w:pPr>
        <w:pStyle w:val="BodyText"/>
        <w:rPr>
          <w:rFonts w:ascii="Times New Roman"/>
          <w:sz w:val="11"/>
        </w:rPr>
      </w:pPr>
    </w:p>
    <w:p>
      <w:pPr>
        <w:pStyle w:val="Heading1"/>
        <w:numPr>
          <w:ilvl w:val="0"/>
          <w:numId w:val="1"/>
        </w:numPr>
        <w:tabs>
          <w:tab w:pos="794" w:val="left" w:leader="none"/>
        </w:tabs>
        <w:spacing w:line="240" w:lineRule="auto" w:before="69" w:after="0"/>
        <w:ind w:left="793" w:right="0" w:hanging="228"/>
        <w:jc w:val="left"/>
      </w:pPr>
      <w:r>
        <w:rPr>
          <w:color w:val="231F20"/>
          <w:u w:val="thick" w:color="231F20"/>
        </w:rPr>
        <w:t>Définition des</w:t>
      </w:r>
      <w:r>
        <w:rPr>
          <w:color w:val="231F20"/>
          <w:spacing w:val="-5"/>
          <w:u w:val="thick" w:color="231F20"/>
        </w:rPr>
        <w:t> </w:t>
      </w:r>
      <w:r>
        <w:rPr>
          <w:color w:val="231F20"/>
          <w:u w:val="thick" w:color="231F20"/>
        </w:rPr>
        <w:t>cas</w:t>
      </w:r>
    </w:p>
    <w:p>
      <w:pPr>
        <w:pStyle w:val="BodyText"/>
        <w:spacing w:before="57"/>
        <w:ind w:left="662"/>
      </w:pPr>
      <w:r>
        <w:rPr>
          <w:color w:val="231F20"/>
          <w:w w:val="105"/>
        </w:rPr>
        <w:t>+ Fièvre &gt; 38°C</w:t>
      </w:r>
    </w:p>
    <w:p>
      <w:pPr>
        <w:pStyle w:val="BodyText"/>
        <w:spacing w:before="38"/>
        <w:ind w:left="662"/>
      </w:pPr>
      <w:r>
        <w:rPr>
          <w:color w:val="231F20"/>
        </w:rPr>
        <w:t>+ Eruption maculo-papuleuse généralisée de 3 jours ou plus</w:t>
      </w:r>
    </w:p>
    <w:p>
      <w:pPr>
        <w:tabs>
          <w:tab w:pos="4759" w:val="left" w:leader="none"/>
        </w:tabs>
        <w:spacing w:before="38"/>
        <w:ind w:left="662" w:right="0" w:firstLine="0"/>
        <w:jc w:val="left"/>
        <w:rPr>
          <w:sz w:val="20"/>
        </w:rPr>
      </w:pPr>
      <w:r>
        <w:rPr>
          <w:color w:val="231F20"/>
          <w:sz w:val="20"/>
        </w:rPr>
        <w:t>+ Au moins </w:t>
      </w:r>
      <w:r>
        <w:rPr>
          <w:b/>
          <w:color w:val="231F20"/>
          <w:sz w:val="20"/>
        </w:rPr>
        <w:t>un des symptômes</w:t>
      </w:r>
      <w:r>
        <w:rPr>
          <w:b/>
          <w:color w:val="231F20"/>
          <w:spacing w:val="5"/>
          <w:sz w:val="20"/>
        </w:rPr>
        <w:t> </w:t>
      </w:r>
      <w:r>
        <w:rPr>
          <w:b/>
          <w:color w:val="231F20"/>
          <w:sz w:val="20"/>
        </w:rPr>
        <w:t>suivants</w:t>
      </w:r>
      <w:r>
        <w:rPr>
          <w:b/>
          <w:color w:val="231F20"/>
          <w:spacing w:val="-2"/>
          <w:sz w:val="20"/>
        </w:rPr>
        <w:t> </w:t>
      </w:r>
      <w:r>
        <w:rPr>
          <w:color w:val="231F20"/>
          <w:sz w:val="20"/>
        </w:rPr>
        <w:t>:</w:t>
        <w:tab/>
        <w:t>-</w:t>
      </w:r>
      <w:r>
        <w:rPr>
          <w:color w:val="231F20"/>
          <w:spacing w:val="-2"/>
          <w:sz w:val="20"/>
        </w:rPr>
        <w:t> </w:t>
      </w:r>
      <w:r>
        <w:rPr>
          <w:color w:val="231F20"/>
          <w:sz w:val="20"/>
        </w:rPr>
        <w:t>toux</w:t>
      </w:r>
    </w:p>
    <w:p>
      <w:pPr>
        <w:pStyle w:val="ListParagraph"/>
        <w:numPr>
          <w:ilvl w:val="0"/>
          <w:numId w:val="2"/>
        </w:numPr>
        <w:tabs>
          <w:tab w:pos="4872" w:val="left" w:leader="none"/>
        </w:tabs>
        <w:spacing w:line="240" w:lineRule="auto" w:before="36" w:after="0"/>
        <w:ind w:left="4871" w:right="0" w:hanging="127"/>
        <w:jc w:val="left"/>
        <w:rPr>
          <w:sz w:val="20"/>
        </w:rPr>
      </w:pPr>
      <w:r>
        <w:rPr>
          <w:color w:val="231F20"/>
          <w:sz w:val="20"/>
        </w:rPr>
        <w:t>rhume ou infection</w:t>
      </w:r>
      <w:r>
        <w:rPr>
          <w:color w:val="231F20"/>
          <w:spacing w:val="-1"/>
          <w:sz w:val="20"/>
        </w:rPr>
        <w:t> </w:t>
      </w:r>
      <w:r>
        <w:rPr>
          <w:color w:val="231F20"/>
          <w:sz w:val="20"/>
        </w:rPr>
        <w:t>respiratoire</w:t>
      </w:r>
    </w:p>
    <w:p>
      <w:pPr>
        <w:pStyle w:val="ListParagraph"/>
        <w:numPr>
          <w:ilvl w:val="0"/>
          <w:numId w:val="2"/>
        </w:numPr>
        <w:tabs>
          <w:tab w:pos="4872" w:val="left" w:leader="none"/>
        </w:tabs>
        <w:spacing w:line="240" w:lineRule="auto" w:before="39" w:after="0"/>
        <w:ind w:left="4871" w:right="0" w:hanging="127"/>
        <w:jc w:val="left"/>
        <w:rPr>
          <w:sz w:val="20"/>
        </w:rPr>
      </w:pPr>
      <w:r>
        <w:rPr>
          <w:color w:val="231F20"/>
          <w:sz w:val="20"/>
        </w:rPr>
        <w:t>conjonctivite</w:t>
      </w:r>
    </w:p>
    <w:p>
      <w:pPr>
        <w:pStyle w:val="Heading1"/>
        <w:numPr>
          <w:ilvl w:val="0"/>
          <w:numId w:val="1"/>
        </w:numPr>
        <w:tabs>
          <w:tab w:pos="794" w:val="left" w:leader="none"/>
        </w:tabs>
        <w:spacing w:line="240" w:lineRule="auto" w:before="110" w:after="0"/>
        <w:ind w:left="793" w:right="0" w:hanging="228"/>
        <w:jc w:val="left"/>
      </w:pPr>
      <w:r>
        <w:rPr>
          <w:color w:val="231F20"/>
          <w:u w:val="thick" w:color="231F20"/>
        </w:rPr>
        <w:t>Prise en charge des cas</w:t>
      </w:r>
    </w:p>
    <w:p>
      <w:pPr>
        <w:pStyle w:val="ListParagraph"/>
        <w:numPr>
          <w:ilvl w:val="1"/>
          <w:numId w:val="1"/>
        </w:numPr>
        <w:tabs>
          <w:tab w:pos="924" w:val="left" w:leader="none"/>
        </w:tabs>
        <w:spacing w:line="240" w:lineRule="auto" w:before="112" w:after="0"/>
        <w:ind w:left="923" w:right="0" w:hanging="262"/>
        <w:jc w:val="left"/>
        <w:rPr>
          <w:b/>
          <w:sz w:val="20"/>
        </w:rPr>
      </w:pPr>
      <w:r>
        <w:rPr>
          <w:b/>
          <w:color w:val="231F20"/>
          <w:sz w:val="20"/>
        </w:rPr>
        <w:t>Rechercher systématiquement les signes de danger</w:t>
      </w:r>
      <w:r>
        <w:rPr>
          <w:b/>
          <w:color w:val="231F20"/>
          <w:spacing w:val="1"/>
          <w:sz w:val="20"/>
        </w:rPr>
        <w:t> </w:t>
      </w:r>
      <w:r>
        <w:rPr>
          <w:b/>
          <w:color w:val="231F20"/>
          <w:sz w:val="20"/>
        </w:rPr>
        <w:t>:</w:t>
      </w:r>
    </w:p>
    <w:p>
      <w:pPr>
        <w:pStyle w:val="ListParagraph"/>
        <w:numPr>
          <w:ilvl w:val="2"/>
          <w:numId w:val="1"/>
        </w:numPr>
        <w:tabs>
          <w:tab w:pos="1067" w:val="left" w:leader="none"/>
        </w:tabs>
        <w:spacing w:line="240" w:lineRule="auto" w:before="141" w:after="0"/>
        <w:ind w:left="1066" w:right="0" w:hanging="127"/>
        <w:jc w:val="left"/>
        <w:rPr>
          <w:sz w:val="20"/>
        </w:rPr>
      </w:pPr>
      <w:r>
        <w:rPr/>
        <w:pict>
          <v:group style="position:absolute;margin-left:117.708725pt;margin-top:5.580297pt;width:339.5pt;height:54.85pt;mso-position-horizontal-relative:page;mso-position-vertical-relative:paragraph;z-index:-251814912" coordorigin="2354,112" coordsize="6790,1097">
            <v:line style="position:absolute" from="2368,117" to="9130,117" stroked="true" strokeweight=".582656pt" strokecolor="#231f20">
              <v:stroke dashstyle="solid"/>
            </v:line>
            <v:line style="position:absolute" from="2368,1201" to="9130,1201" stroked="true" strokeweight=".699844pt" strokecolor="#231f20">
              <v:stroke dashstyle="solid"/>
            </v:line>
            <v:line style="position:absolute" from="2361,112" to="2361,1208" stroked="true" strokeweight=".700313pt" strokecolor="#231f20">
              <v:stroke dashstyle="solid"/>
            </v:line>
            <v:line style="position:absolute" from="9137,112" to="9137,1208" stroked="true" strokeweight=".700313pt" strokecolor="#231f20">
              <v:stroke dashstyle="solid"/>
            </v:line>
            <w10:wrap type="none"/>
          </v:group>
        </w:pict>
      </w:r>
      <w:r>
        <w:rPr>
          <w:color w:val="231F20"/>
          <w:sz w:val="20"/>
        </w:rPr>
        <w:t>perte de poids &gt; 10% du poids initial ou poids &lt; 3</w:t>
      </w:r>
      <w:r>
        <w:rPr>
          <w:color w:val="231F20"/>
          <w:sz w:val="20"/>
          <w:vertAlign w:val="superscript"/>
        </w:rPr>
        <w:t>ème</w:t>
      </w:r>
      <w:r>
        <w:rPr>
          <w:color w:val="231F20"/>
          <w:spacing w:val="5"/>
          <w:sz w:val="20"/>
          <w:vertAlign w:val="baseline"/>
        </w:rPr>
        <w:t> </w:t>
      </w:r>
      <w:r>
        <w:rPr>
          <w:color w:val="231F20"/>
          <w:sz w:val="20"/>
          <w:vertAlign w:val="baseline"/>
        </w:rPr>
        <w:t>percentile</w:t>
      </w:r>
    </w:p>
    <w:p>
      <w:pPr>
        <w:pStyle w:val="ListParagraph"/>
        <w:numPr>
          <w:ilvl w:val="2"/>
          <w:numId w:val="1"/>
        </w:numPr>
        <w:tabs>
          <w:tab w:pos="1067" w:val="left" w:leader="none"/>
        </w:tabs>
        <w:spacing w:line="240" w:lineRule="auto" w:before="36" w:after="0"/>
        <w:ind w:left="1066" w:right="0" w:hanging="127"/>
        <w:jc w:val="left"/>
        <w:rPr>
          <w:sz w:val="20"/>
        </w:rPr>
      </w:pPr>
      <w:r>
        <w:rPr>
          <w:color w:val="231F20"/>
          <w:sz w:val="20"/>
        </w:rPr>
        <w:t>polypnée ou tirage</w:t>
      </w:r>
    </w:p>
    <w:p>
      <w:pPr>
        <w:pStyle w:val="ListParagraph"/>
        <w:numPr>
          <w:ilvl w:val="2"/>
          <w:numId w:val="1"/>
        </w:numPr>
        <w:tabs>
          <w:tab w:pos="1067" w:val="left" w:leader="none"/>
        </w:tabs>
        <w:spacing w:line="240" w:lineRule="auto" w:before="39" w:after="0"/>
        <w:ind w:left="1066" w:right="0" w:hanging="127"/>
        <w:jc w:val="left"/>
        <w:rPr>
          <w:sz w:val="20"/>
        </w:rPr>
      </w:pPr>
      <w:r>
        <w:rPr>
          <w:color w:val="231F20"/>
          <w:sz w:val="20"/>
        </w:rPr>
        <w:t>déshydratation sévère</w:t>
      </w:r>
    </w:p>
    <w:p>
      <w:pPr>
        <w:pStyle w:val="ListParagraph"/>
        <w:numPr>
          <w:ilvl w:val="2"/>
          <w:numId w:val="1"/>
        </w:numPr>
        <w:tabs>
          <w:tab w:pos="1064" w:val="left" w:leader="none"/>
        </w:tabs>
        <w:spacing w:line="240" w:lineRule="auto" w:before="38" w:after="0"/>
        <w:ind w:left="1063" w:right="0" w:hanging="124"/>
        <w:jc w:val="left"/>
        <w:rPr>
          <w:sz w:val="20"/>
        </w:rPr>
      </w:pPr>
      <w:r>
        <w:rPr>
          <w:color w:val="231F20"/>
          <w:sz w:val="20"/>
        </w:rPr>
        <w:t>troubles de la</w:t>
      </w:r>
      <w:r>
        <w:rPr>
          <w:color w:val="231F20"/>
          <w:spacing w:val="-1"/>
          <w:sz w:val="20"/>
        </w:rPr>
        <w:t> </w:t>
      </w:r>
      <w:r>
        <w:rPr>
          <w:color w:val="231F20"/>
          <w:sz w:val="20"/>
        </w:rPr>
        <w:t>conscience</w:t>
      </w:r>
    </w:p>
    <w:p>
      <w:pPr>
        <w:pStyle w:val="BodyText"/>
        <w:spacing w:line="242" w:lineRule="auto" w:before="69"/>
        <w:ind w:left="921" w:right="149"/>
        <w:jc w:val="both"/>
      </w:pPr>
      <w:r>
        <w:rPr>
          <w:color w:val="231F20"/>
        </w:rPr>
        <w:t>Si l’un de ces signes est présent, il faut garder l’enfant en observation (ou le référer conformément à sa sortie SPT) ; si refus, débuter le traitement et demander de revenir le lendemain.</w:t>
      </w:r>
    </w:p>
    <w:p>
      <w:pPr>
        <w:pStyle w:val="Heading1"/>
        <w:numPr>
          <w:ilvl w:val="1"/>
          <w:numId w:val="1"/>
        </w:numPr>
        <w:tabs>
          <w:tab w:pos="924" w:val="left" w:leader="none"/>
        </w:tabs>
        <w:spacing w:line="240" w:lineRule="auto" w:before="106" w:after="0"/>
        <w:ind w:left="923" w:right="0" w:hanging="262"/>
        <w:jc w:val="left"/>
      </w:pPr>
      <w:r>
        <w:rPr/>
        <w:pict>
          <v:shape style="position:absolute;margin-left:118.058884pt;margin-top:23.460135pt;width:418.95pt;height:90.75pt;mso-position-horizontal-relative:page;mso-position-vertical-relative:paragraph;z-index:-251657216;mso-wrap-distance-left:0;mso-wrap-distance-right:0" type="#_x0000_t202" filled="false" stroked="true" strokeweight=".700313pt" strokecolor="#231f20">
            <v:textbox inset="0,0,0,0">
              <w:txbxContent>
                <w:p>
                  <w:pPr>
                    <w:pStyle w:val="BodyText"/>
                    <w:spacing w:line="242" w:lineRule="auto" w:before="16"/>
                    <w:ind w:left="377" w:right="588" w:hanging="126"/>
                  </w:pPr>
                  <w:r>
                    <w:rPr>
                      <w:color w:val="231F20"/>
                    </w:rPr>
                    <w:t>- Amoxicilline: 80 mg/kg/j en 2 prises (cf. FT posologie enfants) pendant 7 jours.      Si</w:t>
                  </w:r>
                  <w:r>
                    <w:rPr>
                      <w:color w:val="231F20"/>
                      <w:spacing w:val="20"/>
                    </w:rPr>
                    <w:t> </w:t>
                  </w:r>
                  <w:r>
                    <w:rPr>
                      <w:color w:val="231F20"/>
                    </w:rPr>
                    <w:t>l’enfant</w:t>
                  </w:r>
                  <w:r>
                    <w:rPr>
                      <w:color w:val="231F20"/>
                      <w:spacing w:val="22"/>
                    </w:rPr>
                    <w:t> </w:t>
                  </w:r>
                  <w:r>
                    <w:rPr>
                      <w:color w:val="231F20"/>
                    </w:rPr>
                    <w:t>ne</w:t>
                  </w:r>
                  <w:r>
                    <w:rPr>
                      <w:color w:val="231F20"/>
                      <w:spacing w:val="19"/>
                    </w:rPr>
                    <w:t> </w:t>
                  </w:r>
                  <w:r>
                    <w:rPr>
                      <w:color w:val="231F20"/>
                    </w:rPr>
                    <w:t>peut</w:t>
                  </w:r>
                  <w:r>
                    <w:rPr>
                      <w:color w:val="231F20"/>
                      <w:spacing w:val="19"/>
                    </w:rPr>
                    <w:t> </w:t>
                  </w:r>
                  <w:r>
                    <w:rPr>
                      <w:color w:val="231F20"/>
                    </w:rPr>
                    <w:t>être</w:t>
                  </w:r>
                  <w:r>
                    <w:rPr>
                      <w:color w:val="231F20"/>
                      <w:spacing w:val="16"/>
                    </w:rPr>
                    <w:t> </w:t>
                  </w:r>
                  <w:r>
                    <w:rPr>
                      <w:color w:val="231F20"/>
                    </w:rPr>
                    <w:t>suivi,</w:t>
                  </w:r>
                  <w:r>
                    <w:rPr>
                      <w:color w:val="231F20"/>
                      <w:spacing w:val="19"/>
                    </w:rPr>
                    <w:t> </w:t>
                  </w:r>
                  <w:r>
                    <w:rPr>
                      <w:color w:val="231F20"/>
                    </w:rPr>
                    <w:t>donner</w:t>
                  </w:r>
                  <w:r>
                    <w:rPr>
                      <w:color w:val="231F20"/>
                      <w:spacing w:val="20"/>
                    </w:rPr>
                    <w:t> </w:t>
                  </w:r>
                  <w:r>
                    <w:rPr>
                      <w:color w:val="231F20"/>
                    </w:rPr>
                    <w:t>à</w:t>
                  </w:r>
                  <w:r>
                    <w:rPr>
                      <w:color w:val="231F20"/>
                      <w:spacing w:val="18"/>
                    </w:rPr>
                    <w:t> </w:t>
                  </w:r>
                  <w:r>
                    <w:rPr>
                      <w:color w:val="231F20"/>
                    </w:rPr>
                    <w:t>la</w:t>
                  </w:r>
                  <w:r>
                    <w:rPr>
                      <w:color w:val="231F20"/>
                      <w:spacing w:val="19"/>
                    </w:rPr>
                    <w:t> </w:t>
                  </w:r>
                  <w:r>
                    <w:rPr>
                      <w:color w:val="231F20"/>
                    </w:rPr>
                    <w:t>place</w:t>
                  </w:r>
                  <w:r>
                    <w:rPr>
                      <w:color w:val="231F20"/>
                      <w:spacing w:val="19"/>
                    </w:rPr>
                    <w:t> </w:t>
                  </w:r>
                  <w:r>
                    <w:rPr>
                      <w:color w:val="231F20"/>
                    </w:rPr>
                    <w:t>du</w:t>
                  </w:r>
                  <w:r>
                    <w:rPr>
                      <w:color w:val="231F20"/>
                      <w:spacing w:val="19"/>
                    </w:rPr>
                    <w:t> </w:t>
                  </w:r>
                  <w:r>
                    <w:rPr>
                      <w:color w:val="231F20"/>
                    </w:rPr>
                    <w:t>Benzathine</w:t>
                  </w:r>
                  <w:r>
                    <w:rPr>
                      <w:color w:val="231F20"/>
                      <w:spacing w:val="16"/>
                    </w:rPr>
                    <w:t> </w:t>
                  </w:r>
                  <w:r>
                    <w:rPr>
                      <w:color w:val="231F20"/>
                    </w:rPr>
                    <w:t>benzyle</w:t>
                  </w:r>
                  <w:r>
                    <w:rPr>
                      <w:color w:val="231F20"/>
                      <w:spacing w:val="17"/>
                    </w:rPr>
                    <w:t> </w:t>
                  </w:r>
                  <w:r>
                    <w:rPr>
                      <w:color w:val="231F20"/>
                    </w:rPr>
                    <w:t>pénicilline</w:t>
                  </w:r>
                </w:p>
                <w:p>
                  <w:pPr>
                    <w:pStyle w:val="BodyText"/>
                    <w:spacing w:line="227" w:lineRule="exact"/>
                    <w:ind w:left="4626"/>
                  </w:pPr>
                  <w:r>
                    <w:rPr>
                      <w:color w:val="231F20"/>
                    </w:rPr>
                    <w:t>60.000U/kg en 1 injection unique.</w:t>
                  </w:r>
                </w:p>
                <w:p>
                  <w:pPr>
                    <w:pStyle w:val="BodyText"/>
                    <w:numPr>
                      <w:ilvl w:val="0"/>
                      <w:numId w:val="3"/>
                    </w:numPr>
                    <w:tabs>
                      <w:tab w:pos="378" w:val="left" w:leader="none"/>
                    </w:tabs>
                    <w:spacing w:line="240" w:lineRule="auto" w:before="39" w:after="0"/>
                    <w:ind w:left="377" w:right="0" w:hanging="127"/>
                    <w:jc w:val="left"/>
                  </w:pPr>
                  <w:r>
                    <w:rPr>
                      <w:color w:val="231F20"/>
                    </w:rPr>
                    <w:t>Vitamine A : 100 000 UI si &lt; 12 mois, 200 000 UI si &gt; 12</w:t>
                  </w:r>
                  <w:r>
                    <w:rPr>
                      <w:color w:val="231F20"/>
                      <w:spacing w:val="-4"/>
                    </w:rPr>
                    <w:t> </w:t>
                  </w:r>
                  <w:r>
                    <w:rPr>
                      <w:color w:val="231F20"/>
                    </w:rPr>
                    <w:t>mois</w:t>
                  </w:r>
                </w:p>
                <w:p>
                  <w:pPr>
                    <w:pStyle w:val="BodyText"/>
                    <w:numPr>
                      <w:ilvl w:val="0"/>
                      <w:numId w:val="3"/>
                    </w:numPr>
                    <w:tabs>
                      <w:tab w:pos="378" w:val="left" w:leader="none"/>
                    </w:tabs>
                    <w:spacing w:line="240" w:lineRule="auto" w:before="38" w:after="0"/>
                    <w:ind w:left="377" w:right="0" w:hanging="127"/>
                    <w:jc w:val="left"/>
                  </w:pPr>
                  <w:r>
                    <w:rPr>
                      <w:color w:val="231F20"/>
                    </w:rPr>
                    <w:t>Pommade ophtalmique tétracycline 1 %</w:t>
                  </w:r>
                  <w:r>
                    <w:rPr>
                      <w:color w:val="231F20"/>
                      <w:spacing w:val="-3"/>
                    </w:rPr>
                    <w:t> </w:t>
                  </w:r>
                  <w:r>
                    <w:rPr>
                      <w:color w:val="231F20"/>
                    </w:rPr>
                    <w:t>4x/jour</w:t>
                  </w:r>
                </w:p>
                <w:p>
                  <w:pPr>
                    <w:pStyle w:val="BodyText"/>
                    <w:numPr>
                      <w:ilvl w:val="0"/>
                      <w:numId w:val="3"/>
                    </w:numPr>
                    <w:tabs>
                      <w:tab w:pos="378" w:val="left" w:leader="none"/>
                    </w:tabs>
                    <w:spacing w:line="240" w:lineRule="auto" w:before="36" w:after="0"/>
                    <w:ind w:left="377" w:right="0" w:hanging="127"/>
                    <w:jc w:val="left"/>
                  </w:pPr>
                  <w:r>
                    <w:rPr>
                      <w:color w:val="231F20"/>
                    </w:rPr>
                    <w:t>Paracétamol 30 mg/kg/j en 3</w:t>
                  </w:r>
                  <w:r>
                    <w:rPr>
                      <w:color w:val="231F20"/>
                      <w:spacing w:val="-6"/>
                    </w:rPr>
                    <w:t> </w:t>
                  </w:r>
                  <w:r>
                    <w:rPr>
                      <w:color w:val="231F20"/>
                    </w:rPr>
                    <w:t>prises</w:t>
                  </w:r>
                </w:p>
                <w:p>
                  <w:pPr>
                    <w:pStyle w:val="BodyText"/>
                    <w:numPr>
                      <w:ilvl w:val="0"/>
                      <w:numId w:val="3"/>
                    </w:numPr>
                    <w:tabs>
                      <w:tab w:pos="378" w:val="left" w:leader="none"/>
                    </w:tabs>
                    <w:spacing w:line="240" w:lineRule="auto" w:before="41" w:after="0"/>
                    <w:ind w:left="377" w:right="0" w:hanging="127"/>
                    <w:jc w:val="left"/>
                  </w:pPr>
                  <w:r>
                    <w:rPr>
                      <w:color w:val="231F20"/>
                    </w:rPr>
                    <w:t>Si </w:t>
                  </w:r>
                  <w:r>
                    <w:rPr>
                      <w:color w:val="231F20"/>
                      <w:spacing w:val="-7"/>
                    </w:rPr>
                    <w:t>T°&gt;38,5, </w:t>
                  </w:r>
                  <w:r>
                    <w:rPr>
                      <w:color w:val="231F20"/>
                    </w:rPr>
                    <w:t>donner une cure de paludisme selon FT</w:t>
                  </w:r>
                  <w:r>
                    <w:rPr>
                      <w:color w:val="231F20"/>
                      <w:spacing w:val="5"/>
                    </w:rPr>
                    <w:t> </w:t>
                  </w:r>
                  <w:r>
                    <w:rPr>
                      <w:color w:val="231F20"/>
                    </w:rPr>
                    <w:t>Palu</w:t>
                  </w:r>
                </w:p>
              </w:txbxContent>
            </v:textbox>
            <v:stroke dashstyle="solid"/>
            <w10:wrap type="topAndBottom"/>
          </v:shape>
        </w:pict>
      </w:r>
      <w:r>
        <w:rPr>
          <w:color w:val="231F20"/>
        </w:rPr>
        <w:t>Traitement</w:t>
      </w:r>
      <w:r>
        <w:rPr>
          <w:color w:val="231F20"/>
          <w:spacing w:val="3"/>
        </w:rPr>
        <w:t> </w:t>
      </w:r>
      <w:r>
        <w:rPr>
          <w:color w:val="231F20"/>
        </w:rPr>
        <w:t>:</w:t>
      </w:r>
    </w:p>
    <w:p>
      <w:pPr>
        <w:spacing w:before="103"/>
        <w:ind w:left="921" w:right="0" w:firstLine="0"/>
        <w:jc w:val="left"/>
        <w:rPr>
          <w:sz w:val="20"/>
        </w:rPr>
      </w:pPr>
      <w:r>
        <w:rPr>
          <w:color w:val="231F20"/>
          <w:sz w:val="20"/>
        </w:rPr>
        <w:t>Si </w:t>
      </w:r>
      <w:r>
        <w:rPr>
          <w:b/>
          <w:color w:val="231F20"/>
          <w:sz w:val="20"/>
          <w:u w:val="thick" w:color="231F20"/>
        </w:rPr>
        <w:t>signes de déshydratation</w:t>
      </w:r>
      <w:r>
        <w:rPr>
          <w:b/>
          <w:color w:val="231F20"/>
          <w:sz w:val="20"/>
        </w:rPr>
        <w:t> </w:t>
      </w:r>
      <w:r>
        <w:rPr>
          <w:color w:val="231F20"/>
          <w:sz w:val="20"/>
        </w:rPr>
        <w:t>: voir SPT DRHe et FT Réhydratation/Choléra</w:t>
      </w:r>
    </w:p>
    <w:p>
      <w:pPr>
        <w:pStyle w:val="BodyText"/>
        <w:spacing w:before="57"/>
        <w:ind w:left="921"/>
      </w:pPr>
      <w:r>
        <w:rPr>
          <w:color w:val="231F20"/>
        </w:rPr>
        <w:t>Si </w:t>
      </w:r>
      <w:r>
        <w:rPr>
          <w:b/>
          <w:color w:val="231F20"/>
        </w:rPr>
        <w:t>convulsions </w:t>
      </w:r>
      <w:r>
        <w:rPr>
          <w:color w:val="231F20"/>
        </w:rPr>
        <w:t>: Diazépam injectable 0,5 mg/kg en IR ou IM, consulte SPT Convulsion</w:t>
      </w:r>
    </w:p>
    <w:p>
      <w:pPr>
        <w:pStyle w:val="BodyText"/>
        <w:spacing w:before="1"/>
        <w:rPr>
          <w:sz w:val="19"/>
        </w:rPr>
      </w:pPr>
    </w:p>
    <w:p>
      <w:pPr>
        <w:pStyle w:val="Heading1"/>
        <w:numPr>
          <w:ilvl w:val="0"/>
          <w:numId w:val="1"/>
        </w:numPr>
        <w:tabs>
          <w:tab w:pos="959" w:val="left" w:leader="none"/>
        </w:tabs>
        <w:spacing w:line="240" w:lineRule="auto" w:before="1" w:after="0"/>
        <w:ind w:left="958" w:right="0" w:hanging="227"/>
        <w:jc w:val="left"/>
      </w:pPr>
      <w:r>
        <w:rPr>
          <w:color w:val="231F20"/>
          <w:u w:val="thick" w:color="231F20"/>
        </w:rPr>
        <w:t>Mesures à</w:t>
      </w:r>
      <w:r>
        <w:rPr>
          <w:color w:val="231F20"/>
          <w:spacing w:val="2"/>
          <w:u w:val="thick" w:color="231F20"/>
        </w:rPr>
        <w:t> </w:t>
      </w:r>
      <w:r>
        <w:rPr>
          <w:color w:val="231F20"/>
          <w:u w:val="thick" w:color="231F20"/>
        </w:rPr>
        <w:t>prendre</w:t>
      </w:r>
    </w:p>
    <w:p>
      <w:pPr>
        <w:pStyle w:val="BodyText"/>
        <w:spacing w:before="4"/>
        <w:rPr>
          <w:b/>
          <w:sz w:val="13"/>
        </w:rPr>
      </w:pPr>
    </w:p>
    <w:p>
      <w:pPr>
        <w:spacing w:before="69"/>
        <w:ind w:left="732" w:right="0" w:firstLine="0"/>
        <w:jc w:val="both"/>
        <w:rPr>
          <w:b/>
          <w:sz w:val="20"/>
        </w:rPr>
      </w:pPr>
      <w:r>
        <w:rPr>
          <w:b/>
          <w:color w:val="231F20"/>
          <w:sz w:val="20"/>
        </w:rPr>
        <w:t>Notification :</w:t>
      </w:r>
    </w:p>
    <w:p>
      <w:pPr>
        <w:pStyle w:val="BodyText"/>
        <w:spacing w:before="54"/>
        <w:ind w:left="732" w:right="147"/>
        <w:jc w:val="both"/>
      </w:pPr>
      <w:r>
        <w:rPr>
          <w:color w:val="231F20"/>
        </w:rPr>
        <w:t>Dans un registre (spécifier âge, lieu de résidence, statut vaccinal) et dans le rapport mensuel SNIS avec les informations sur l’âge et le statut vaccinal. Noter chaque semaine le nombre de nouveaux cas et les décès et le communiquer par téléphone au Bureau de district sanitaire- BDS.</w:t>
      </w:r>
    </w:p>
    <w:p>
      <w:pPr>
        <w:pStyle w:val="BodyText"/>
        <w:spacing w:before="60"/>
        <w:ind w:left="732" w:right="148"/>
        <w:jc w:val="both"/>
      </w:pPr>
      <w:r>
        <w:rPr>
          <w:color w:val="231F20"/>
        </w:rPr>
        <w:t>Faire un prélèvement et remplir la fiche de prélèvement pour le laboratoire national de l’Institut National de Santé Publique -INSP. La fiche de prélèvement doit être approuvée par le BDS avant l’envoi du prélèvement au laboratoire.</w:t>
      </w:r>
    </w:p>
    <w:p>
      <w:pPr>
        <w:pStyle w:val="BodyText"/>
        <w:spacing w:before="4"/>
        <w:rPr>
          <w:sz w:val="19"/>
        </w:rPr>
      </w:pPr>
    </w:p>
    <w:p>
      <w:pPr>
        <w:pStyle w:val="Heading1"/>
        <w:spacing w:before="0"/>
      </w:pPr>
      <w:r>
        <w:rPr>
          <w:color w:val="231F20"/>
        </w:rPr>
        <w:t>Détection d’une épidémie</w:t>
      </w:r>
    </w:p>
    <w:p>
      <w:pPr>
        <w:pStyle w:val="BodyText"/>
        <w:spacing w:before="55"/>
        <w:ind w:left="732"/>
      </w:pPr>
      <w:r>
        <w:rPr>
          <w:color w:val="231F20"/>
        </w:rPr>
        <w:t>Analyser les données avant de les envoyer :</w:t>
      </w:r>
    </w:p>
    <w:p>
      <w:pPr>
        <w:pStyle w:val="ListParagraph"/>
        <w:numPr>
          <w:ilvl w:val="0"/>
          <w:numId w:val="4"/>
        </w:numPr>
        <w:tabs>
          <w:tab w:pos="857" w:val="left" w:leader="none"/>
        </w:tabs>
        <w:spacing w:line="240" w:lineRule="auto" w:before="57" w:after="0"/>
        <w:ind w:left="856" w:right="0" w:hanging="125"/>
        <w:jc w:val="left"/>
        <w:rPr>
          <w:sz w:val="20"/>
        </w:rPr>
      </w:pPr>
      <w:r>
        <w:rPr>
          <w:color w:val="231F20"/>
          <w:sz w:val="20"/>
        </w:rPr>
        <w:t>compter les cas</w:t>
      </w:r>
    </w:p>
    <w:p>
      <w:pPr>
        <w:pStyle w:val="ListParagraph"/>
        <w:numPr>
          <w:ilvl w:val="0"/>
          <w:numId w:val="4"/>
        </w:numPr>
        <w:tabs>
          <w:tab w:pos="894" w:val="left" w:leader="none"/>
        </w:tabs>
        <w:spacing w:line="240" w:lineRule="auto" w:before="38" w:after="0"/>
        <w:ind w:left="900" w:right="147" w:hanging="168"/>
        <w:jc w:val="left"/>
        <w:rPr>
          <w:sz w:val="20"/>
        </w:rPr>
      </w:pPr>
      <w:r>
        <w:rPr>
          <w:color w:val="231F20"/>
          <w:sz w:val="20"/>
        </w:rPr>
        <w:t>vérifier s’ils sont plus nombreux que dans la même semaine de l’année non épidémique précédente</w:t>
      </w:r>
    </w:p>
    <w:p>
      <w:pPr>
        <w:pStyle w:val="ListParagraph"/>
        <w:numPr>
          <w:ilvl w:val="0"/>
          <w:numId w:val="4"/>
        </w:numPr>
        <w:tabs>
          <w:tab w:pos="857" w:val="left" w:leader="none"/>
        </w:tabs>
        <w:spacing w:line="240" w:lineRule="auto" w:before="37" w:after="0"/>
        <w:ind w:left="856" w:right="0" w:hanging="125"/>
        <w:jc w:val="left"/>
        <w:rPr>
          <w:sz w:val="20"/>
        </w:rPr>
      </w:pPr>
      <w:r>
        <w:rPr>
          <w:color w:val="231F20"/>
          <w:sz w:val="20"/>
        </w:rPr>
        <w:t>vérifier l’existence ou non des foyers</w:t>
      </w:r>
      <w:r>
        <w:rPr>
          <w:color w:val="231F20"/>
          <w:spacing w:val="-2"/>
          <w:sz w:val="20"/>
        </w:rPr>
        <w:t> </w:t>
      </w:r>
      <w:r>
        <w:rPr>
          <w:color w:val="231F20"/>
          <w:sz w:val="20"/>
        </w:rPr>
        <w:t>locaux.</w:t>
      </w:r>
    </w:p>
    <w:p>
      <w:pPr>
        <w:pStyle w:val="BodyText"/>
        <w:spacing w:line="242" w:lineRule="auto" w:before="39"/>
        <w:ind w:left="732" w:right="214"/>
      </w:pPr>
      <w:r>
        <w:rPr>
          <w:color w:val="231F20"/>
        </w:rPr>
        <w:t>Toute anomalie doit être signalée à l’hiérarchie sans délai avec la communication des  données.</w:t>
      </w:r>
    </w:p>
    <w:p>
      <w:pPr>
        <w:pStyle w:val="BodyText"/>
        <w:spacing w:before="1"/>
        <w:rPr>
          <w:sz w:val="14"/>
        </w:rPr>
      </w:pPr>
    </w:p>
    <w:p>
      <w:pPr>
        <w:tabs>
          <w:tab w:pos="4885" w:val="right" w:leader="none"/>
        </w:tabs>
        <w:spacing w:line="237" w:lineRule="exact" w:before="73"/>
        <w:ind w:left="634" w:right="0" w:firstLine="0"/>
        <w:jc w:val="left"/>
        <w:rPr>
          <w:rFonts w:ascii="Times New Roman" w:hAnsi="Times New Roman"/>
          <w:sz w:val="18"/>
        </w:rPr>
      </w:pPr>
      <w:r>
        <w:rPr>
          <w:b/>
          <w:i/>
          <w:color w:val="231F20"/>
          <w:sz w:val="18"/>
        </w:rPr>
        <w:t>Contrôle d’une épidémie</w:t>
      </w:r>
      <w:r>
        <w:rPr>
          <w:b/>
          <w:i/>
          <w:color w:val="231F20"/>
          <w:spacing w:val="5"/>
          <w:sz w:val="18"/>
        </w:rPr>
        <w:t> </w:t>
      </w:r>
      <w:r>
        <w:rPr>
          <w:b/>
          <w:i/>
          <w:color w:val="231F20"/>
          <w:sz w:val="18"/>
        </w:rPr>
        <w:t>:</w:t>
      </w:r>
      <w:r>
        <w:rPr>
          <w:b/>
          <w:i/>
          <w:color w:val="231F20"/>
          <w:spacing w:val="2"/>
          <w:sz w:val="18"/>
        </w:rPr>
        <w:t> </w:t>
      </w:r>
      <w:r>
        <w:rPr>
          <w:b/>
          <w:i/>
          <w:color w:val="231F20"/>
          <w:sz w:val="18"/>
        </w:rPr>
        <w:t>vaccination</w:t>
        <w:tab/>
      </w:r>
      <w:r>
        <w:rPr>
          <w:rFonts w:ascii="Times New Roman" w:hAnsi="Times New Roman"/>
          <w:color w:val="231F20"/>
          <w:position w:val="-4"/>
          <w:sz w:val="18"/>
        </w:rPr>
        <w:t>89</w:t>
      </w:r>
    </w:p>
    <w:p>
      <w:pPr>
        <w:spacing w:line="187" w:lineRule="exact" w:before="0"/>
        <w:ind w:left="634" w:right="0" w:firstLine="0"/>
        <w:jc w:val="left"/>
        <w:rPr>
          <w:b/>
          <w:i/>
          <w:sz w:val="18"/>
        </w:rPr>
      </w:pPr>
      <w:r>
        <w:rPr>
          <w:b/>
          <w:i/>
          <w:color w:val="231F20"/>
          <w:sz w:val="18"/>
        </w:rPr>
        <w:t>(voir prochaine page)</w:t>
      </w:r>
    </w:p>
    <w:p>
      <w:pPr>
        <w:spacing w:after="0" w:line="187" w:lineRule="exact"/>
        <w:jc w:val="left"/>
        <w:rPr>
          <w:sz w:val="18"/>
        </w:rPr>
        <w:sectPr>
          <w:type w:val="continuous"/>
          <w:pgSz w:w="11900" w:h="16840"/>
          <w:pgMar w:top="1600" w:bottom="280" w:left="1680" w:right="880"/>
        </w:sectPr>
      </w:pPr>
    </w:p>
    <w:p>
      <w:pPr>
        <w:pStyle w:val="Heading1"/>
        <w:spacing w:before="745"/>
      </w:pPr>
      <w:r>
        <w:rPr>
          <w:color w:val="231F20"/>
        </w:rPr>
        <w:t>Contrôle d’une épidémie : vaccination</w:t>
      </w:r>
    </w:p>
    <w:p>
      <w:pPr>
        <w:pStyle w:val="BodyText"/>
        <w:spacing w:before="1"/>
        <w:rPr>
          <w:b/>
          <w:sz w:val="13"/>
        </w:rPr>
      </w:pPr>
    </w:p>
    <w:tbl>
      <w:tblPr>
        <w:tblW w:w="0" w:type="auto"/>
        <w:jc w:val="left"/>
        <w:tblInd w:w="74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4277"/>
        <w:gridCol w:w="4111"/>
      </w:tblGrid>
      <w:tr>
        <w:trPr>
          <w:trHeight w:val="285" w:hRule="atLeast"/>
        </w:trPr>
        <w:tc>
          <w:tcPr>
            <w:tcW w:w="4277" w:type="dxa"/>
          </w:tcPr>
          <w:p>
            <w:pPr>
              <w:pStyle w:val="TableParagraph"/>
              <w:spacing w:line="229" w:lineRule="exact"/>
              <w:ind w:left="2142" w:right="1802" w:firstLine="0"/>
              <w:jc w:val="center"/>
              <w:rPr>
                <w:b/>
                <w:sz w:val="20"/>
              </w:rPr>
            </w:pPr>
            <w:r>
              <w:rPr>
                <w:b/>
                <w:color w:val="231F20"/>
                <w:sz w:val="20"/>
              </w:rPr>
              <w:t>Où</w:t>
            </w:r>
          </w:p>
        </w:tc>
        <w:tc>
          <w:tcPr>
            <w:tcW w:w="4111" w:type="dxa"/>
          </w:tcPr>
          <w:p>
            <w:pPr>
              <w:pStyle w:val="TableParagraph"/>
              <w:spacing w:line="229" w:lineRule="exact"/>
              <w:ind w:left="2032" w:right="1690" w:firstLine="0"/>
              <w:jc w:val="center"/>
              <w:rPr>
                <w:b/>
                <w:sz w:val="20"/>
              </w:rPr>
            </w:pPr>
            <w:r>
              <w:rPr>
                <w:b/>
                <w:color w:val="231F20"/>
                <w:sz w:val="20"/>
              </w:rPr>
              <w:t>Qui</w:t>
            </w:r>
          </w:p>
        </w:tc>
      </w:tr>
      <w:tr>
        <w:trPr>
          <w:trHeight w:val="1907" w:hRule="atLeast"/>
        </w:trPr>
        <w:tc>
          <w:tcPr>
            <w:tcW w:w="4277" w:type="dxa"/>
          </w:tcPr>
          <w:p>
            <w:pPr>
              <w:pStyle w:val="TableParagraph"/>
              <w:numPr>
                <w:ilvl w:val="0"/>
                <w:numId w:val="5"/>
              </w:numPr>
              <w:tabs>
                <w:tab w:pos="387" w:val="left" w:leader="none"/>
              </w:tabs>
              <w:spacing w:line="240" w:lineRule="auto" w:before="106" w:after="0"/>
              <w:ind w:left="386" w:right="0" w:hanging="124"/>
              <w:jc w:val="left"/>
              <w:rPr>
                <w:sz w:val="20"/>
              </w:rPr>
            </w:pPr>
            <w:r>
              <w:rPr>
                <w:color w:val="231F20"/>
                <w:sz w:val="20"/>
              </w:rPr>
              <w:t>Autour du foyer</w:t>
            </w:r>
            <w:r>
              <w:rPr>
                <w:color w:val="231F20"/>
                <w:spacing w:val="-3"/>
                <w:sz w:val="20"/>
              </w:rPr>
              <w:t> </w:t>
            </w:r>
            <w:r>
              <w:rPr>
                <w:color w:val="231F20"/>
                <w:sz w:val="20"/>
              </w:rPr>
              <w:t>épidémique</w:t>
            </w:r>
          </w:p>
          <w:p>
            <w:pPr>
              <w:pStyle w:val="TableParagraph"/>
              <w:numPr>
                <w:ilvl w:val="0"/>
                <w:numId w:val="5"/>
              </w:numPr>
              <w:tabs>
                <w:tab w:pos="387" w:val="left" w:leader="none"/>
              </w:tabs>
              <w:spacing w:line="240" w:lineRule="auto" w:before="38" w:after="0"/>
              <w:ind w:left="391" w:right="548" w:hanging="129"/>
              <w:jc w:val="left"/>
              <w:rPr>
                <w:sz w:val="20"/>
              </w:rPr>
            </w:pPr>
            <w:r>
              <w:rPr>
                <w:color w:val="231F20"/>
                <w:sz w:val="20"/>
              </w:rPr>
              <w:t>Dans les foyers à haut risque (concentration périurbaine, camps de personnes déplacées ou réfugiées, populations</w:t>
            </w:r>
            <w:r>
              <w:rPr>
                <w:color w:val="231F20"/>
                <w:spacing w:val="-1"/>
                <w:sz w:val="20"/>
              </w:rPr>
              <w:t> </w:t>
            </w:r>
            <w:r>
              <w:rPr>
                <w:color w:val="231F20"/>
                <w:sz w:val="20"/>
              </w:rPr>
              <w:t>nomades)</w:t>
            </w:r>
          </w:p>
          <w:p>
            <w:pPr>
              <w:pStyle w:val="TableParagraph"/>
              <w:numPr>
                <w:ilvl w:val="0"/>
                <w:numId w:val="5"/>
              </w:numPr>
              <w:tabs>
                <w:tab w:pos="387" w:val="left" w:leader="none"/>
              </w:tabs>
              <w:spacing w:line="240" w:lineRule="auto" w:before="41" w:after="0"/>
              <w:ind w:left="391" w:right="298" w:hanging="129"/>
              <w:jc w:val="left"/>
              <w:rPr>
                <w:sz w:val="20"/>
              </w:rPr>
            </w:pPr>
            <w:r>
              <w:rPr>
                <w:color w:val="231F20"/>
                <w:sz w:val="20"/>
              </w:rPr>
              <w:t>Dans le centre de santé pour prévenir la transmission</w:t>
            </w:r>
            <w:r>
              <w:rPr>
                <w:color w:val="231F20"/>
                <w:spacing w:val="2"/>
                <w:sz w:val="20"/>
              </w:rPr>
              <w:t> </w:t>
            </w:r>
            <w:r>
              <w:rPr>
                <w:color w:val="231F20"/>
                <w:sz w:val="20"/>
              </w:rPr>
              <w:t>nosocomiale.</w:t>
            </w:r>
          </w:p>
        </w:tc>
        <w:tc>
          <w:tcPr>
            <w:tcW w:w="4111" w:type="dxa"/>
          </w:tcPr>
          <w:p>
            <w:pPr>
              <w:pStyle w:val="TableParagraph"/>
              <w:numPr>
                <w:ilvl w:val="0"/>
                <w:numId w:val="6"/>
              </w:numPr>
              <w:tabs>
                <w:tab w:pos="452" w:val="left" w:leader="none"/>
              </w:tabs>
              <w:spacing w:line="240" w:lineRule="auto" w:before="106" w:after="0"/>
              <w:ind w:left="451" w:right="0" w:hanging="124"/>
              <w:jc w:val="left"/>
              <w:rPr>
                <w:sz w:val="20"/>
              </w:rPr>
            </w:pPr>
            <w:r>
              <w:rPr>
                <w:color w:val="231F20"/>
                <w:sz w:val="20"/>
              </w:rPr>
              <w:t>Enfants âgés de 6 mois à 5</w:t>
            </w:r>
            <w:r>
              <w:rPr>
                <w:color w:val="231F20"/>
                <w:spacing w:val="-7"/>
                <w:sz w:val="20"/>
              </w:rPr>
              <w:t> </w:t>
            </w:r>
            <w:r>
              <w:rPr>
                <w:color w:val="231F20"/>
                <w:sz w:val="20"/>
              </w:rPr>
              <w:t>ans.</w:t>
            </w:r>
          </w:p>
          <w:p>
            <w:pPr>
              <w:pStyle w:val="TableParagraph"/>
              <w:numPr>
                <w:ilvl w:val="0"/>
                <w:numId w:val="6"/>
              </w:numPr>
              <w:tabs>
                <w:tab w:pos="452" w:val="left" w:leader="none"/>
              </w:tabs>
              <w:spacing w:line="240" w:lineRule="auto" w:before="38" w:after="0"/>
              <w:ind w:left="391" w:right="97" w:hanging="63"/>
              <w:jc w:val="left"/>
              <w:rPr>
                <w:sz w:val="20"/>
              </w:rPr>
            </w:pPr>
            <w:r>
              <w:rPr>
                <w:color w:val="231F20"/>
                <w:sz w:val="20"/>
              </w:rPr>
              <w:t>Enfants qui ont été vaccinés avant l’âge de 11 mois, si possible (seconde</w:t>
            </w:r>
            <w:r>
              <w:rPr>
                <w:color w:val="231F20"/>
                <w:spacing w:val="5"/>
                <w:sz w:val="20"/>
              </w:rPr>
              <w:t> </w:t>
            </w:r>
            <w:r>
              <w:rPr>
                <w:color w:val="231F20"/>
                <w:sz w:val="20"/>
              </w:rPr>
              <w:t>dose).</w:t>
            </w:r>
          </w:p>
        </w:tc>
      </w:tr>
    </w:tbl>
    <w:p>
      <w:pPr>
        <w:spacing w:before="108"/>
        <w:ind w:left="732" w:right="0" w:firstLine="0"/>
        <w:jc w:val="left"/>
        <w:rPr>
          <w:sz w:val="20"/>
        </w:rPr>
      </w:pPr>
      <w:r>
        <w:rPr/>
        <w:pict>
          <v:rect style="position:absolute;margin-left:102.892921pt;margin-top:18.862614pt;width:441.786014pt;height:14.69904pt;mso-position-horizontal-relative:page;mso-position-vertical-relative:paragraph;z-index:-251655168;mso-wrap-distance-left:0;mso-wrap-distance-right:0" filled="true" fillcolor="#e6e7e8" stroked="false">
            <v:fill type="solid"/>
            <w10:wrap type="topAndBottom"/>
          </v:rect>
        </w:pict>
      </w:r>
      <w:r>
        <w:rPr>
          <w:b/>
          <w:color w:val="231F20"/>
          <w:sz w:val="20"/>
        </w:rPr>
        <w:t>Renforcer la vaccination de routine dans les zones non atteintes </w:t>
      </w:r>
      <w:r>
        <w:rPr>
          <w:color w:val="231F20"/>
          <w:sz w:val="20"/>
        </w:rPr>
        <w:t>par le PEV</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spacing w:before="0"/>
        <w:ind w:left="4684" w:right="4436" w:firstLine="0"/>
        <w:jc w:val="center"/>
        <w:rPr>
          <w:rFonts w:ascii="Times New Roman"/>
          <w:sz w:val="18"/>
        </w:rPr>
      </w:pPr>
      <w:r>
        <w:rPr>
          <w:rFonts w:ascii="Times New Roman"/>
          <w:color w:val="231F20"/>
          <w:sz w:val="18"/>
        </w:rPr>
        <w:t>90</w:t>
      </w:r>
    </w:p>
    <w:sectPr>
      <w:pgSz w:w="11900" w:h="16840"/>
      <w:pgMar w:top="1600" w:bottom="2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391" w:hanging="124"/>
      </w:pPr>
      <w:rPr>
        <w:rFonts w:hint="default" w:ascii="Arial" w:hAnsi="Arial" w:eastAsia="Arial" w:cs="Arial"/>
        <w:color w:val="231F20"/>
        <w:w w:val="101"/>
        <w:sz w:val="20"/>
        <w:szCs w:val="20"/>
      </w:rPr>
    </w:lvl>
    <w:lvl w:ilvl="1">
      <w:start w:val="0"/>
      <w:numFmt w:val="bullet"/>
      <w:lvlText w:val="•"/>
      <w:lvlJc w:val="left"/>
      <w:pPr>
        <w:ind w:left="769" w:hanging="124"/>
      </w:pPr>
      <w:rPr>
        <w:rFonts w:hint="default"/>
      </w:rPr>
    </w:lvl>
    <w:lvl w:ilvl="2">
      <w:start w:val="0"/>
      <w:numFmt w:val="bullet"/>
      <w:lvlText w:val="•"/>
      <w:lvlJc w:val="left"/>
      <w:pPr>
        <w:ind w:left="1139" w:hanging="124"/>
      </w:pPr>
      <w:rPr>
        <w:rFonts w:hint="default"/>
      </w:rPr>
    </w:lvl>
    <w:lvl w:ilvl="3">
      <w:start w:val="0"/>
      <w:numFmt w:val="bullet"/>
      <w:lvlText w:val="•"/>
      <w:lvlJc w:val="left"/>
      <w:pPr>
        <w:ind w:left="1508" w:hanging="124"/>
      </w:pPr>
      <w:rPr>
        <w:rFonts w:hint="default"/>
      </w:rPr>
    </w:lvl>
    <w:lvl w:ilvl="4">
      <w:start w:val="0"/>
      <w:numFmt w:val="bullet"/>
      <w:lvlText w:val="•"/>
      <w:lvlJc w:val="left"/>
      <w:pPr>
        <w:ind w:left="1878" w:hanging="124"/>
      </w:pPr>
      <w:rPr>
        <w:rFonts w:hint="default"/>
      </w:rPr>
    </w:lvl>
    <w:lvl w:ilvl="5">
      <w:start w:val="0"/>
      <w:numFmt w:val="bullet"/>
      <w:lvlText w:val="•"/>
      <w:lvlJc w:val="left"/>
      <w:pPr>
        <w:ind w:left="2248" w:hanging="124"/>
      </w:pPr>
      <w:rPr>
        <w:rFonts w:hint="default"/>
      </w:rPr>
    </w:lvl>
    <w:lvl w:ilvl="6">
      <w:start w:val="0"/>
      <w:numFmt w:val="bullet"/>
      <w:lvlText w:val="•"/>
      <w:lvlJc w:val="left"/>
      <w:pPr>
        <w:ind w:left="2617" w:hanging="124"/>
      </w:pPr>
      <w:rPr>
        <w:rFonts w:hint="default"/>
      </w:rPr>
    </w:lvl>
    <w:lvl w:ilvl="7">
      <w:start w:val="0"/>
      <w:numFmt w:val="bullet"/>
      <w:lvlText w:val="•"/>
      <w:lvlJc w:val="left"/>
      <w:pPr>
        <w:ind w:left="2987" w:hanging="124"/>
      </w:pPr>
      <w:rPr>
        <w:rFonts w:hint="default"/>
      </w:rPr>
    </w:lvl>
    <w:lvl w:ilvl="8">
      <w:start w:val="0"/>
      <w:numFmt w:val="bullet"/>
      <w:lvlText w:val="•"/>
      <w:lvlJc w:val="left"/>
      <w:pPr>
        <w:ind w:left="3356" w:hanging="124"/>
      </w:pPr>
      <w:rPr>
        <w:rFonts w:hint="default"/>
      </w:rPr>
    </w:lvl>
  </w:abstractNum>
  <w:abstractNum w:abstractNumId="4">
    <w:multiLevelType w:val="hybridMultilevel"/>
    <w:lvl w:ilvl="0">
      <w:start w:val="0"/>
      <w:numFmt w:val="bullet"/>
      <w:lvlText w:val="-"/>
      <w:lvlJc w:val="left"/>
      <w:pPr>
        <w:ind w:left="391" w:hanging="124"/>
      </w:pPr>
      <w:rPr>
        <w:rFonts w:hint="default" w:ascii="Arial" w:hAnsi="Arial" w:eastAsia="Arial" w:cs="Arial"/>
        <w:color w:val="231F20"/>
        <w:w w:val="101"/>
        <w:sz w:val="20"/>
        <w:szCs w:val="20"/>
      </w:rPr>
    </w:lvl>
    <w:lvl w:ilvl="1">
      <w:start w:val="0"/>
      <w:numFmt w:val="bullet"/>
      <w:lvlText w:val="•"/>
      <w:lvlJc w:val="left"/>
      <w:pPr>
        <w:ind w:left="786" w:hanging="124"/>
      </w:pPr>
      <w:rPr>
        <w:rFonts w:hint="default"/>
      </w:rPr>
    </w:lvl>
    <w:lvl w:ilvl="2">
      <w:start w:val="0"/>
      <w:numFmt w:val="bullet"/>
      <w:lvlText w:val="•"/>
      <w:lvlJc w:val="left"/>
      <w:pPr>
        <w:ind w:left="1172" w:hanging="124"/>
      </w:pPr>
      <w:rPr>
        <w:rFonts w:hint="default"/>
      </w:rPr>
    </w:lvl>
    <w:lvl w:ilvl="3">
      <w:start w:val="0"/>
      <w:numFmt w:val="bullet"/>
      <w:lvlText w:val="•"/>
      <w:lvlJc w:val="left"/>
      <w:pPr>
        <w:ind w:left="1558" w:hanging="124"/>
      </w:pPr>
      <w:rPr>
        <w:rFonts w:hint="default"/>
      </w:rPr>
    </w:lvl>
    <w:lvl w:ilvl="4">
      <w:start w:val="0"/>
      <w:numFmt w:val="bullet"/>
      <w:lvlText w:val="•"/>
      <w:lvlJc w:val="left"/>
      <w:pPr>
        <w:ind w:left="1944" w:hanging="124"/>
      </w:pPr>
      <w:rPr>
        <w:rFonts w:hint="default"/>
      </w:rPr>
    </w:lvl>
    <w:lvl w:ilvl="5">
      <w:start w:val="0"/>
      <w:numFmt w:val="bullet"/>
      <w:lvlText w:val="•"/>
      <w:lvlJc w:val="left"/>
      <w:pPr>
        <w:ind w:left="2331" w:hanging="124"/>
      </w:pPr>
      <w:rPr>
        <w:rFonts w:hint="default"/>
      </w:rPr>
    </w:lvl>
    <w:lvl w:ilvl="6">
      <w:start w:val="0"/>
      <w:numFmt w:val="bullet"/>
      <w:lvlText w:val="•"/>
      <w:lvlJc w:val="left"/>
      <w:pPr>
        <w:ind w:left="2717" w:hanging="124"/>
      </w:pPr>
      <w:rPr>
        <w:rFonts w:hint="default"/>
      </w:rPr>
    </w:lvl>
    <w:lvl w:ilvl="7">
      <w:start w:val="0"/>
      <w:numFmt w:val="bullet"/>
      <w:lvlText w:val="•"/>
      <w:lvlJc w:val="left"/>
      <w:pPr>
        <w:ind w:left="3103" w:hanging="124"/>
      </w:pPr>
      <w:rPr>
        <w:rFonts w:hint="default"/>
      </w:rPr>
    </w:lvl>
    <w:lvl w:ilvl="8">
      <w:start w:val="0"/>
      <w:numFmt w:val="bullet"/>
      <w:lvlText w:val="•"/>
      <w:lvlJc w:val="left"/>
      <w:pPr>
        <w:ind w:left="3489" w:hanging="124"/>
      </w:pPr>
      <w:rPr>
        <w:rFonts w:hint="default"/>
      </w:rPr>
    </w:lvl>
  </w:abstractNum>
  <w:abstractNum w:abstractNumId="3">
    <w:multiLevelType w:val="hybridMultilevel"/>
    <w:lvl w:ilvl="0">
      <w:start w:val="0"/>
      <w:numFmt w:val="bullet"/>
      <w:lvlText w:val="-"/>
      <w:lvlJc w:val="left"/>
      <w:pPr>
        <w:ind w:left="900" w:hanging="124"/>
      </w:pPr>
      <w:rPr>
        <w:rFonts w:hint="default" w:ascii="Arial" w:hAnsi="Arial" w:eastAsia="Arial" w:cs="Arial"/>
        <w:color w:val="231F20"/>
        <w:w w:val="101"/>
        <w:sz w:val="20"/>
        <w:szCs w:val="20"/>
      </w:rPr>
    </w:lvl>
    <w:lvl w:ilvl="1">
      <w:start w:val="0"/>
      <w:numFmt w:val="bullet"/>
      <w:lvlText w:val="•"/>
      <w:lvlJc w:val="left"/>
      <w:pPr>
        <w:ind w:left="1744" w:hanging="124"/>
      </w:pPr>
      <w:rPr>
        <w:rFonts w:hint="default"/>
      </w:rPr>
    </w:lvl>
    <w:lvl w:ilvl="2">
      <w:start w:val="0"/>
      <w:numFmt w:val="bullet"/>
      <w:lvlText w:val="•"/>
      <w:lvlJc w:val="left"/>
      <w:pPr>
        <w:ind w:left="2588" w:hanging="124"/>
      </w:pPr>
      <w:rPr>
        <w:rFonts w:hint="default"/>
      </w:rPr>
    </w:lvl>
    <w:lvl w:ilvl="3">
      <w:start w:val="0"/>
      <w:numFmt w:val="bullet"/>
      <w:lvlText w:val="•"/>
      <w:lvlJc w:val="left"/>
      <w:pPr>
        <w:ind w:left="3432" w:hanging="124"/>
      </w:pPr>
      <w:rPr>
        <w:rFonts w:hint="default"/>
      </w:rPr>
    </w:lvl>
    <w:lvl w:ilvl="4">
      <w:start w:val="0"/>
      <w:numFmt w:val="bullet"/>
      <w:lvlText w:val="•"/>
      <w:lvlJc w:val="left"/>
      <w:pPr>
        <w:ind w:left="4276" w:hanging="124"/>
      </w:pPr>
      <w:rPr>
        <w:rFonts w:hint="default"/>
      </w:rPr>
    </w:lvl>
    <w:lvl w:ilvl="5">
      <w:start w:val="0"/>
      <w:numFmt w:val="bullet"/>
      <w:lvlText w:val="•"/>
      <w:lvlJc w:val="left"/>
      <w:pPr>
        <w:ind w:left="5120" w:hanging="124"/>
      </w:pPr>
      <w:rPr>
        <w:rFonts w:hint="default"/>
      </w:rPr>
    </w:lvl>
    <w:lvl w:ilvl="6">
      <w:start w:val="0"/>
      <w:numFmt w:val="bullet"/>
      <w:lvlText w:val="•"/>
      <w:lvlJc w:val="left"/>
      <w:pPr>
        <w:ind w:left="5964" w:hanging="124"/>
      </w:pPr>
      <w:rPr>
        <w:rFonts w:hint="default"/>
      </w:rPr>
    </w:lvl>
    <w:lvl w:ilvl="7">
      <w:start w:val="0"/>
      <w:numFmt w:val="bullet"/>
      <w:lvlText w:val="•"/>
      <w:lvlJc w:val="left"/>
      <w:pPr>
        <w:ind w:left="6808" w:hanging="124"/>
      </w:pPr>
      <w:rPr>
        <w:rFonts w:hint="default"/>
      </w:rPr>
    </w:lvl>
    <w:lvl w:ilvl="8">
      <w:start w:val="0"/>
      <w:numFmt w:val="bullet"/>
      <w:lvlText w:val="•"/>
      <w:lvlJc w:val="left"/>
      <w:pPr>
        <w:ind w:left="7652" w:hanging="124"/>
      </w:pPr>
      <w:rPr>
        <w:rFonts w:hint="default"/>
      </w:rPr>
    </w:lvl>
  </w:abstractNum>
  <w:abstractNum w:abstractNumId="2">
    <w:multiLevelType w:val="hybridMultilevel"/>
    <w:lvl w:ilvl="0">
      <w:start w:val="0"/>
      <w:numFmt w:val="bullet"/>
      <w:lvlText w:val="-"/>
      <w:lvlJc w:val="left"/>
      <w:pPr>
        <w:ind w:left="377" w:hanging="126"/>
      </w:pPr>
      <w:rPr>
        <w:rFonts w:hint="default" w:ascii="Arial" w:hAnsi="Arial" w:eastAsia="Arial" w:cs="Arial"/>
        <w:color w:val="231F20"/>
        <w:w w:val="101"/>
        <w:sz w:val="20"/>
        <w:szCs w:val="20"/>
      </w:rPr>
    </w:lvl>
    <w:lvl w:ilvl="1">
      <w:start w:val="0"/>
      <w:numFmt w:val="bullet"/>
      <w:lvlText w:val="•"/>
      <w:lvlJc w:val="left"/>
      <w:pPr>
        <w:ind w:left="1178" w:hanging="126"/>
      </w:pPr>
      <w:rPr>
        <w:rFonts w:hint="default"/>
      </w:rPr>
    </w:lvl>
    <w:lvl w:ilvl="2">
      <w:start w:val="0"/>
      <w:numFmt w:val="bullet"/>
      <w:lvlText w:val="•"/>
      <w:lvlJc w:val="left"/>
      <w:pPr>
        <w:ind w:left="1976" w:hanging="126"/>
      </w:pPr>
      <w:rPr>
        <w:rFonts w:hint="default"/>
      </w:rPr>
    </w:lvl>
    <w:lvl w:ilvl="3">
      <w:start w:val="0"/>
      <w:numFmt w:val="bullet"/>
      <w:lvlText w:val="•"/>
      <w:lvlJc w:val="left"/>
      <w:pPr>
        <w:ind w:left="2775" w:hanging="126"/>
      </w:pPr>
      <w:rPr>
        <w:rFonts w:hint="default"/>
      </w:rPr>
    </w:lvl>
    <w:lvl w:ilvl="4">
      <w:start w:val="0"/>
      <w:numFmt w:val="bullet"/>
      <w:lvlText w:val="•"/>
      <w:lvlJc w:val="left"/>
      <w:pPr>
        <w:ind w:left="3573" w:hanging="126"/>
      </w:pPr>
      <w:rPr>
        <w:rFonts w:hint="default"/>
      </w:rPr>
    </w:lvl>
    <w:lvl w:ilvl="5">
      <w:start w:val="0"/>
      <w:numFmt w:val="bullet"/>
      <w:lvlText w:val="•"/>
      <w:lvlJc w:val="left"/>
      <w:pPr>
        <w:ind w:left="4372" w:hanging="126"/>
      </w:pPr>
      <w:rPr>
        <w:rFonts w:hint="default"/>
      </w:rPr>
    </w:lvl>
    <w:lvl w:ilvl="6">
      <w:start w:val="0"/>
      <w:numFmt w:val="bullet"/>
      <w:lvlText w:val="•"/>
      <w:lvlJc w:val="left"/>
      <w:pPr>
        <w:ind w:left="5170" w:hanging="126"/>
      </w:pPr>
      <w:rPr>
        <w:rFonts w:hint="default"/>
      </w:rPr>
    </w:lvl>
    <w:lvl w:ilvl="7">
      <w:start w:val="0"/>
      <w:numFmt w:val="bullet"/>
      <w:lvlText w:val="•"/>
      <w:lvlJc w:val="left"/>
      <w:pPr>
        <w:ind w:left="5969" w:hanging="126"/>
      </w:pPr>
      <w:rPr>
        <w:rFonts w:hint="default"/>
      </w:rPr>
    </w:lvl>
    <w:lvl w:ilvl="8">
      <w:start w:val="0"/>
      <w:numFmt w:val="bullet"/>
      <w:lvlText w:val="•"/>
      <w:lvlJc w:val="left"/>
      <w:pPr>
        <w:ind w:left="6767" w:hanging="126"/>
      </w:pPr>
      <w:rPr>
        <w:rFonts w:hint="default"/>
      </w:rPr>
    </w:lvl>
  </w:abstractNum>
  <w:abstractNum w:abstractNumId="1">
    <w:multiLevelType w:val="hybridMultilevel"/>
    <w:lvl w:ilvl="0">
      <w:start w:val="0"/>
      <w:numFmt w:val="bullet"/>
      <w:lvlText w:val="-"/>
      <w:lvlJc w:val="left"/>
      <w:pPr>
        <w:ind w:left="4871" w:hanging="126"/>
      </w:pPr>
      <w:rPr>
        <w:rFonts w:hint="default" w:ascii="Arial" w:hAnsi="Arial" w:eastAsia="Arial" w:cs="Arial"/>
        <w:color w:val="231F20"/>
        <w:w w:val="101"/>
        <w:sz w:val="20"/>
        <w:szCs w:val="20"/>
      </w:rPr>
    </w:lvl>
    <w:lvl w:ilvl="1">
      <w:start w:val="0"/>
      <w:numFmt w:val="bullet"/>
      <w:lvlText w:val="•"/>
      <w:lvlJc w:val="left"/>
      <w:pPr>
        <w:ind w:left="5326" w:hanging="126"/>
      </w:pPr>
      <w:rPr>
        <w:rFonts w:hint="default"/>
      </w:rPr>
    </w:lvl>
    <w:lvl w:ilvl="2">
      <w:start w:val="0"/>
      <w:numFmt w:val="bullet"/>
      <w:lvlText w:val="•"/>
      <w:lvlJc w:val="left"/>
      <w:pPr>
        <w:ind w:left="5772" w:hanging="126"/>
      </w:pPr>
      <w:rPr>
        <w:rFonts w:hint="default"/>
      </w:rPr>
    </w:lvl>
    <w:lvl w:ilvl="3">
      <w:start w:val="0"/>
      <w:numFmt w:val="bullet"/>
      <w:lvlText w:val="•"/>
      <w:lvlJc w:val="left"/>
      <w:pPr>
        <w:ind w:left="6218" w:hanging="126"/>
      </w:pPr>
      <w:rPr>
        <w:rFonts w:hint="default"/>
      </w:rPr>
    </w:lvl>
    <w:lvl w:ilvl="4">
      <w:start w:val="0"/>
      <w:numFmt w:val="bullet"/>
      <w:lvlText w:val="•"/>
      <w:lvlJc w:val="left"/>
      <w:pPr>
        <w:ind w:left="6664" w:hanging="126"/>
      </w:pPr>
      <w:rPr>
        <w:rFonts w:hint="default"/>
      </w:rPr>
    </w:lvl>
    <w:lvl w:ilvl="5">
      <w:start w:val="0"/>
      <w:numFmt w:val="bullet"/>
      <w:lvlText w:val="•"/>
      <w:lvlJc w:val="left"/>
      <w:pPr>
        <w:ind w:left="7110" w:hanging="126"/>
      </w:pPr>
      <w:rPr>
        <w:rFonts w:hint="default"/>
      </w:rPr>
    </w:lvl>
    <w:lvl w:ilvl="6">
      <w:start w:val="0"/>
      <w:numFmt w:val="bullet"/>
      <w:lvlText w:val="•"/>
      <w:lvlJc w:val="left"/>
      <w:pPr>
        <w:ind w:left="7556" w:hanging="126"/>
      </w:pPr>
      <w:rPr>
        <w:rFonts w:hint="default"/>
      </w:rPr>
    </w:lvl>
    <w:lvl w:ilvl="7">
      <w:start w:val="0"/>
      <w:numFmt w:val="bullet"/>
      <w:lvlText w:val="•"/>
      <w:lvlJc w:val="left"/>
      <w:pPr>
        <w:ind w:left="8002" w:hanging="126"/>
      </w:pPr>
      <w:rPr>
        <w:rFonts w:hint="default"/>
      </w:rPr>
    </w:lvl>
    <w:lvl w:ilvl="8">
      <w:start w:val="0"/>
      <w:numFmt w:val="bullet"/>
      <w:lvlText w:val="•"/>
      <w:lvlJc w:val="left"/>
      <w:pPr>
        <w:ind w:left="8448" w:hanging="126"/>
      </w:pPr>
      <w:rPr>
        <w:rFonts w:hint="default"/>
      </w:rPr>
    </w:lvl>
  </w:abstractNum>
  <w:abstractNum w:abstractNumId="0">
    <w:multiLevelType w:val="hybridMultilevel"/>
    <w:lvl w:ilvl="0">
      <w:start w:val="1"/>
      <w:numFmt w:val="decimal"/>
      <w:lvlText w:val="%1."/>
      <w:lvlJc w:val="left"/>
      <w:pPr>
        <w:ind w:left="793" w:hanging="227"/>
        <w:jc w:val="right"/>
      </w:pPr>
      <w:rPr>
        <w:rFonts w:hint="default" w:ascii="Arial" w:hAnsi="Arial" w:eastAsia="Arial" w:cs="Arial"/>
        <w:b/>
        <w:bCs/>
        <w:color w:val="231F20"/>
        <w:spacing w:val="-1"/>
        <w:w w:val="101"/>
        <w:sz w:val="20"/>
        <w:szCs w:val="20"/>
        <w:u w:val="thick" w:color="231F20"/>
      </w:rPr>
    </w:lvl>
    <w:lvl w:ilvl="1">
      <w:start w:val="0"/>
      <w:numFmt w:val="bullet"/>
      <w:lvlText w:val=""/>
      <w:lvlJc w:val="left"/>
      <w:pPr>
        <w:ind w:left="923" w:hanging="262"/>
      </w:pPr>
      <w:rPr>
        <w:rFonts w:hint="default" w:ascii="Symbol" w:hAnsi="Symbol" w:eastAsia="Symbol" w:cs="Symbol"/>
        <w:color w:val="231F20"/>
        <w:w w:val="100"/>
        <w:sz w:val="20"/>
        <w:szCs w:val="20"/>
      </w:rPr>
    </w:lvl>
    <w:lvl w:ilvl="2">
      <w:start w:val="0"/>
      <w:numFmt w:val="bullet"/>
      <w:lvlText w:val="-"/>
      <w:lvlJc w:val="left"/>
      <w:pPr>
        <w:ind w:left="1066" w:hanging="126"/>
      </w:pPr>
      <w:rPr>
        <w:rFonts w:hint="default" w:ascii="Arial" w:hAnsi="Arial" w:eastAsia="Arial" w:cs="Arial"/>
        <w:color w:val="231F20"/>
        <w:w w:val="101"/>
        <w:sz w:val="20"/>
        <w:szCs w:val="20"/>
      </w:rPr>
    </w:lvl>
    <w:lvl w:ilvl="3">
      <w:start w:val="0"/>
      <w:numFmt w:val="bullet"/>
      <w:lvlText w:val="•"/>
      <w:lvlJc w:val="left"/>
      <w:pPr>
        <w:ind w:left="2095" w:hanging="126"/>
      </w:pPr>
      <w:rPr>
        <w:rFonts w:hint="default"/>
      </w:rPr>
    </w:lvl>
    <w:lvl w:ilvl="4">
      <w:start w:val="0"/>
      <w:numFmt w:val="bullet"/>
      <w:lvlText w:val="•"/>
      <w:lvlJc w:val="left"/>
      <w:pPr>
        <w:ind w:left="3130" w:hanging="126"/>
      </w:pPr>
      <w:rPr>
        <w:rFonts w:hint="default"/>
      </w:rPr>
    </w:lvl>
    <w:lvl w:ilvl="5">
      <w:start w:val="0"/>
      <w:numFmt w:val="bullet"/>
      <w:lvlText w:val="•"/>
      <w:lvlJc w:val="left"/>
      <w:pPr>
        <w:ind w:left="4165" w:hanging="126"/>
      </w:pPr>
      <w:rPr>
        <w:rFonts w:hint="default"/>
      </w:rPr>
    </w:lvl>
    <w:lvl w:ilvl="6">
      <w:start w:val="0"/>
      <w:numFmt w:val="bullet"/>
      <w:lvlText w:val="•"/>
      <w:lvlJc w:val="left"/>
      <w:pPr>
        <w:ind w:left="5200" w:hanging="126"/>
      </w:pPr>
      <w:rPr>
        <w:rFonts w:hint="default"/>
      </w:rPr>
    </w:lvl>
    <w:lvl w:ilvl="7">
      <w:start w:val="0"/>
      <w:numFmt w:val="bullet"/>
      <w:lvlText w:val="•"/>
      <w:lvlJc w:val="left"/>
      <w:pPr>
        <w:ind w:left="6235" w:hanging="126"/>
      </w:pPr>
      <w:rPr>
        <w:rFonts w:hint="default"/>
      </w:rPr>
    </w:lvl>
    <w:lvl w:ilvl="8">
      <w:start w:val="0"/>
      <w:numFmt w:val="bullet"/>
      <w:lvlText w:val="•"/>
      <w:lvlJc w:val="left"/>
      <w:pPr>
        <w:ind w:left="7270" w:hanging="12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69"/>
      <w:ind w:left="732"/>
      <w:outlineLvl w:val="1"/>
    </w:pPr>
    <w:rPr>
      <w:rFonts w:ascii="Arial" w:hAnsi="Arial" w:eastAsia="Arial" w:cs="Arial"/>
      <w:b/>
      <w:bCs/>
      <w:sz w:val="20"/>
      <w:szCs w:val="20"/>
    </w:rPr>
  </w:style>
  <w:style w:styleId="ListParagraph" w:type="paragraph">
    <w:name w:val="List Paragraph"/>
    <w:basedOn w:val="Normal"/>
    <w:uiPriority w:val="1"/>
    <w:qFormat/>
    <w:pPr>
      <w:spacing w:before="36"/>
      <w:ind w:left="1066" w:hanging="127"/>
    </w:pPr>
    <w:rPr>
      <w:rFonts w:ascii="Arial" w:hAnsi="Arial" w:eastAsia="Arial" w:cs="Arial"/>
    </w:rPr>
  </w:style>
  <w:style w:styleId="TableParagraph" w:type="paragraph">
    <w:name w:val="Table Paragraph"/>
    <w:basedOn w:val="Normal"/>
    <w:uiPriority w:val="1"/>
    <w:qFormat/>
    <w:pPr>
      <w:ind w:left="391" w:hanging="12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2020-02-25T15:31:27Z</dcterms:created>
  <dcterms:modified xsi:type="dcterms:W3CDTF">2020-02-25T15:31:27Z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