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b w:val="0"/>
          <w:sz w:val="27"/>
        </w:rPr>
      </w:pPr>
    </w:p>
    <w:p>
      <w:pPr>
        <w:pStyle w:val="BodyText"/>
        <w:ind w:left="545"/>
        <w:rPr>
          <w:rFonts w:ascii="Times New Roman"/>
          <w:b w:val="0"/>
        </w:rPr>
      </w:pPr>
      <w:r>
        <w:rPr>
          <w:rFonts w:ascii="Times New Roman"/>
          <w:b w:val="0"/>
          <w:position w:val="0"/>
        </w:rPr>
        <w:pict>
          <v:shape style="width:444.25pt;height:17.3pt;mso-position-horizontal-relative:char;mso-position-vertical-relative:line" type="#_x0000_t202" filled="true" fillcolor="#e6e7e8" stroked="true" strokeweight=".700313pt" strokecolor="#231f20">
            <w10:anchorlock/>
            <v:textbox inset="0,0,0,0">
              <w:txbxContent>
                <w:p>
                  <w:pPr>
                    <w:spacing w:before="24"/>
                    <w:ind w:left="1908" w:right="1908" w:firstLine="0"/>
                    <w:jc w:val="center"/>
                    <w:rPr>
                      <w:b/>
                      <w:sz w:val="25"/>
                    </w:rPr>
                  </w:pPr>
                  <w:r>
                    <w:rPr>
                      <w:b/>
                      <w:color w:val="231F20"/>
                      <w:sz w:val="25"/>
                    </w:rPr>
                    <w:t>S’ETOUFFER - MANŒUVRE DE HEIMLICH</w:t>
                  </w:r>
                </w:p>
              </w:txbxContent>
            </v:textbox>
            <v:fill type="solid"/>
            <v:stroke dashstyle="solid"/>
          </v:shape>
        </w:pict>
      </w:r>
      <w:r>
        <w:rPr>
          <w:rFonts w:ascii="Times New Roman"/>
          <w:b w:val="0"/>
          <w:position w:val="0"/>
        </w:rPr>
      </w:r>
    </w:p>
    <w:p>
      <w:pPr>
        <w:pStyle w:val="BodyText"/>
        <w:spacing w:before="9"/>
        <w:rPr>
          <w:rFonts w:ascii="Times New Roman"/>
          <w:b w:val="0"/>
          <w:sz w:val="11"/>
        </w:rPr>
      </w:pPr>
    </w:p>
    <w:p>
      <w:pPr>
        <w:pStyle w:val="Heading1"/>
        <w:spacing w:line="247" w:lineRule="auto" w:before="65"/>
        <w:ind w:right="1485" w:firstLine="1717"/>
        <w:jc w:val="left"/>
      </w:pPr>
      <w:r>
        <w:rPr>
          <w:color w:val="231F20"/>
        </w:rPr>
        <w:t>Mesures à  prendre  pour DEBOUCHER LES VOIES RESPIRATOIRES</w:t>
      </w:r>
      <w:r>
        <w:rPr>
          <w:color w:val="231F20"/>
          <w:spacing w:val="50"/>
        </w:rPr>
        <w:t> </w:t>
      </w:r>
      <w:r>
        <w:rPr>
          <w:color w:val="231F20"/>
        </w:rPr>
        <w:t>HAUTES</w:t>
      </w:r>
    </w:p>
    <w:p>
      <w:pPr>
        <w:pStyle w:val="BodyText"/>
        <w:spacing w:before="6"/>
        <w:rPr>
          <w:sz w:val="21"/>
        </w:rPr>
      </w:pPr>
      <w:r>
        <w:rPr/>
        <w:pict>
          <v:shape style="position:absolute;margin-left:98.985008pt;margin-top:14.57795pt;width:449.55pt;height:55.3pt;mso-position-horizontal-relative:page;mso-position-vertical-relative:paragraph;z-index:-251657216;mso-wrap-distance-left:0;mso-wrap-distance-right:0" type="#_x0000_t202" filled="false" stroked="true" strokeweight=".466876pt" strokecolor="#231f20">
            <v:textbox inset="0,0,0,0">
              <w:txbxContent>
                <w:p>
                  <w:pPr>
                    <w:spacing w:before="22"/>
                    <w:ind w:left="2865" w:right="2866" w:firstLine="0"/>
                    <w:jc w:val="center"/>
                    <w:rPr>
                      <w:b/>
                      <w:sz w:val="25"/>
                    </w:rPr>
                  </w:pPr>
                  <w:r>
                    <w:rPr>
                      <w:b/>
                      <w:color w:val="231F20"/>
                      <w:sz w:val="25"/>
                    </w:rPr>
                    <w:t>5 Claques dans le dos</w:t>
                  </w:r>
                </w:p>
                <w:p>
                  <w:pPr>
                    <w:spacing w:before="109"/>
                    <w:ind w:left="2795" w:right="2866" w:firstLine="0"/>
                    <w:jc w:val="center"/>
                    <w:rPr>
                      <w:b/>
                      <w:sz w:val="22"/>
                    </w:rPr>
                  </w:pPr>
                  <w:r>
                    <w:rPr>
                      <w:b/>
                      <w:color w:val="231F20"/>
                      <w:sz w:val="22"/>
                    </w:rPr>
                    <w:t>si pas de succès</w:t>
                  </w:r>
                </w:p>
                <w:p>
                  <w:pPr>
                    <w:spacing w:before="118"/>
                    <w:ind w:left="2866" w:right="2866" w:firstLine="0"/>
                    <w:jc w:val="center"/>
                    <w:rPr>
                      <w:b/>
                      <w:sz w:val="25"/>
                    </w:rPr>
                  </w:pPr>
                  <w:r>
                    <w:rPr>
                      <w:b/>
                      <w:color w:val="231F20"/>
                      <w:sz w:val="25"/>
                    </w:rPr>
                    <w:t>MANŒUVRE DE HEIMLICH</w:t>
                  </w:r>
                </w:p>
              </w:txbxContent>
            </v:textbox>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7"/>
        </w:rPr>
      </w:pPr>
    </w:p>
    <w:p>
      <w:pPr>
        <w:spacing w:line="242" w:lineRule="auto" w:before="72"/>
        <w:ind w:left="1063" w:right="101" w:firstLine="0"/>
        <w:jc w:val="both"/>
        <w:rPr>
          <w:b/>
          <w:sz w:val="18"/>
        </w:rPr>
      </w:pPr>
      <w:r>
        <w:rPr/>
        <w:pict>
          <v:group style="position:absolute;margin-left:79.559998pt;margin-top:-207.310257pt;width:453.95pt;height:199.45pt;mso-position-horizontal-relative:page;mso-position-vertical-relative:paragraph;z-index:251661312" coordorigin="1591,-4146" coordsize="9079,3989">
            <v:shape style="position:absolute;left:1591;top:-4147;width:4239;height:3936" type="#_x0000_t75" stroked="false">
              <v:imagedata r:id="rId6" o:title=""/>
            </v:shape>
            <v:rect style="position:absolute;left:5044;top:-3943;width:5626;height:3785" filled="true" fillcolor="#ffffff" stroked="false">
              <v:fill type="solid"/>
            </v:rect>
            <v:shape style="position:absolute;left:1591;top:-4147;width:9079;height:3989" type="#_x0000_t202" filled="false" stroked="false">
              <v:textbox inset="0,0,0,0">
                <w:txbxContent>
                  <w:p>
                    <w:pPr>
                      <w:spacing w:line="240" w:lineRule="auto" w:before="9"/>
                      <w:rPr>
                        <w:b/>
                        <w:sz w:val="17"/>
                      </w:rPr>
                    </w:pPr>
                  </w:p>
                  <w:p>
                    <w:pPr>
                      <w:spacing w:before="0"/>
                      <w:ind w:left="3453" w:right="0" w:firstLine="0"/>
                      <w:jc w:val="left"/>
                      <w:rPr>
                        <w:b/>
                        <w:sz w:val="18"/>
                      </w:rPr>
                    </w:pPr>
                    <w:r>
                      <w:rPr>
                        <w:b/>
                        <w:color w:val="231F20"/>
                        <w:sz w:val="18"/>
                        <w:u w:val="thick" w:color="231F20"/>
                      </w:rPr>
                      <w:t>Classification de s’étouffer selon sévérité :</w:t>
                    </w:r>
                  </w:p>
                  <w:p>
                    <w:pPr>
                      <w:spacing w:line="240" w:lineRule="auto" w:before="4"/>
                      <w:rPr>
                        <w:b/>
                        <w:sz w:val="19"/>
                      </w:rPr>
                    </w:pPr>
                  </w:p>
                  <w:p>
                    <w:pPr>
                      <w:numPr>
                        <w:ilvl w:val="0"/>
                        <w:numId w:val="1"/>
                      </w:numPr>
                      <w:tabs>
                        <w:tab w:pos="4110" w:val="left" w:leader="none"/>
                        <w:tab w:pos="4112" w:val="left" w:leader="none"/>
                      </w:tabs>
                      <w:spacing w:before="0"/>
                      <w:ind w:left="4111" w:right="0" w:hanging="363"/>
                      <w:jc w:val="left"/>
                      <w:rPr>
                        <w:b/>
                        <w:color w:val="231F20"/>
                        <w:sz w:val="18"/>
                      </w:rPr>
                    </w:pPr>
                    <w:r>
                      <w:rPr>
                        <w:b/>
                        <w:color w:val="231F20"/>
                        <w:sz w:val="18"/>
                      </w:rPr>
                      <w:t>Obstruction des voies aériennes</w:t>
                    </w:r>
                    <w:r>
                      <w:rPr>
                        <w:b/>
                        <w:color w:val="231F20"/>
                        <w:spacing w:val="10"/>
                        <w:sz w:val="18"/>
                      </w:rPr>
                      <w:t> </w:t>
                    </w:r>
                    <w:r>
                      <w:rPr>
                        <w:b/>
                        <w:color w:val="231F20"/>
                        <w:sz w:val="18"/>
                      </w:rPr>
                      <w:t>légère</w:t>
                    </w:r>
                  </w:p>
                  <w:p>
                    <w:pPr>
                      <w:spacing w:line="242" w:lineRule="auto" w:before="57"/>
                      <w:ind w:left="3782" w:right="0" w:firstLine="0"/>
                      <w:jc w:val="left"/>
                      <w:rPr>
                        <w:sz w:val="18"/>
                      </w:rPr>
                    </w:pPr>
                    <w:r>
                      <w:rPr>
                        <w:color w:val="231F20"/>
                        <w:sz w:val="18"/>
                      </w:rPr>
                      <w:t>Le patient peut encore répondre aux questions concernant la cause du bouchement, il respire et tousse .</w:t>
                    </w:r>
                  </w:p>
                  <w:p>
                    <w:pPr>
                      <w:spacing w:before="58"/>
                      <w:ind w:left="3782" w:right="0" w:firstLine="0"/>
                      <w:jc w:val="left"/>
                      <w:rPr>
                        <w:sz w:val="18"/>
                      </w:rPr>
                    </w:pPr>
                    <w:r>
                      <w:rPr>
                        <w:b/>
                        <w:color w:val="231F20"/>
                        <w:sz w:val="18"/>
                      </w:rPr>
                      <w:t>Traitement : </w:t>
                    </w:r>
                    <w:r>
                      <w:rPr>
                        <w:color w:val="231F20"/>
                        <w:sz w:val="18"/>
                      </w:rPr>
                      <w:t>Encourager à tousser, pas d’autre intervention</w:t>
                    </w:r>
                  </w:p>
                  <w:p>
                    <w:pPr>
                      <w:spacing w:line="240" w:lineRule="auto" w:before="0"/>
                      <w:rPr>
                        <w:sz w:val="18"/>
                      </w:rPr>
                    </w:pPr>
                  </w:p>
                  <w:p>
                    <w:pPr>
                      <w:numPr>
                        <w:ilvl w:val="0"/>
                        <w:numId w:val="1"/>
                      </w:numPr>
                      <w:tabs>
                        <w:tab w:pos="3986" w:val="left" w:leader="none"/>
                      </w:tabs>
                      <w:spacing w:before="118"/>
                      <w:ind w:left="3985" w:right="0" w:hanging="237"/>
                      <w:jc w:val="both"/>
                      <w:rPr>
                        <w:b/>
                        <w:color w:val="231F20"/>
                        <w:sz w:val="20"/>
                      </w:rPr>
                    </w:pPr>
                    <w:r>
                      <w:rPr>
                        <w:b/>
                        <w:color w:val="231F20"/>
                        <w:sz w:val="20"/>
                      </w:rPr>
                      <w:t>Obstruction des voies aériennes</w:t>
                    </w:r>
                    <w:r>
                      <w:rPr>
                        <w:b/>
                        <w:color w:val="231F20"/>
                        <w:spacing w:val="4"/>
                        <w:sz w:val="20"/>
                      </w:rPr>
                      <w:t> </w:t>
                    </w:r>
                    <w:r>
                      <w:rPr>
                        <w:b/>
                        <w:color w:val="231F20"/>
                        <w:sz w:val="20"/>
                      </w:rPr>
                      <w:t>sévère</w:t>
                    </w:r>
                  </w:p>
                  <w:p>
                    <w:pPr>
                      <w:spacing w:line="242" w:lineRule="auto" w:before="54"/>
                      <w:ind w:left="3782" w:right="97" w:firstLine="0"/>
                      <w:jc w:val="both"/>
                      <w:rPr>
                        <w:sz w:val="18"/>
                      </w:rPr>
                    </w:pPr>
                    <w:r>
                      <w:rPr>
                        <w:color w:val="231F20"/>
                        <w:sz w:val="18"/>
                      </w:rPr>
                      <w:t>Le patient n’arrive pas à parler, ne peut pas respirer ; respiration sifflante, tente de tousser ou peut être</w:t>
                    </w:r>
                    <w:r>
                      <w:rPr>
                        <w:color w:val="231F20"/>
                        <w:spacing w:val="12"/>
                        <w:sz w:val="18"/>
                      </w:rPr>
                      <w:t> </w:t>
                    </w:r>
                    <w:r>
                      <w:rPr>
                        <w:color w:val="231F20"/>
                        <w:sz w:val="18"/>
                      </w:rPr>
                      <w:t>inconscient</w:t>
                    </w:r>
                  </w:p>
                  <w:p>
                    <w:pPr>
                      <w:spacing w:line="247" w:lineRule="auto" w:before="56"/>
                      <w:ind w:left="3945" w:right="1" w:hanging="164"/>
                      <w:jc w:val="both"/>
                      <w:rPr>
                        <w:sz w:val="18"/>
                      </w:rPr>
                    </w:pPr>
                    <w:r>
                      <w:rPr>
                        <w:b/>
                        <w:color w:val="231F20"/>
                        <w:sz w:val="18"/>
                      </w:rPr>
                      <w:t>Traitement : </w:t>
                    </w:r>
                    <w:r>
                      <w:rPr>
                        <w:color w:val="231F20"/>
                        <w:sz w:val="18"/>
                      </w:rPr>
                      <w:t>le pencher en avant - guider le patient  pour qu'il  soit debout et incliné vers</w:t>
                    </w:r>
                    <w:r>
                      <w:rPr>
                        <w:color w:val="231F20"/>
                        <w:spacing w:val="7"/>
                        <w:sz w:val="18"/>
                      </w:rPr>
                      <w:t> </w:t>
                    </w:r>
                    <w:r>
                      <w:rPr>
                        <w:color w:val="231F20"/>
                        <w:sz w:val="18"/>
                      </w:rPr>
                      <w:t>l'avant.</w:t>
                    </w:r>
                  </w:p>
                  <w:p>
                    <w:pPr>
                      <w:spacing w:line="242" w:lineRule="auto" w:before="50"/>
                      <w:ind w:left="3779" w:right="-15" w:firstLine="0"/>
                      <w:jc w:val="both"/>
                      <w:rPr>
                        <w:sz w:val="18"/>
                      </w:rPr>
                    </w:pPr>
                    <w:r>
                      <w:rPr>
                        <w:b/>
                        <w:color w:val="231F20"/>
                        <w:sz w:val="18"/>
                      </w:rPr>
                      <w:t>Au maximum cinq claques dans le dos </w:t>
                    </w:r>
                    <w:r>
                      <w:rPr>
                        <w:color w:val="231F20"/>
                        <w:sz w:val="18"/>
                      </w:rPr>
                      <w:t>avec l'intérieur du poignet entre les omoplates, dans le but de libérer l'obstruction </w:t>
                    </w:r>
                    <w:r>
                      <w:rPr>
                        <w:color w:val="2E4F4F"/>
                        <w:sz w:val="18"/>
                      </w:rPr>
                      <w:t>avec la claque. Après chaque claque, vérifier si les voies respiratoires sont dégagées</w:t>
                    </w:r>
                  </w:p>
                </w:txbxContent>
              </v:textbox>
              <w10:wrap type="none"/>
            </v:shape>
            <w10:wrap type="none"/>
          </v:group>
        </w:pict>
      </w:r>
      <w:r>
        <w:rPr>
          <w:i/>
          <w:color w:val="2E4F4F"/>
          <w:sz w:val="18"/>
        </w:rPr>
        <w:t>(Traitement cont.) </w:t>
      </w:r>
      <w:r>
        <w:rPr>
          <w:color w:val="2E4F4F"/>
          <w:sz w:val="18"/>
        </w:rPr>
        <w:t>Retirer/nettoyer les corps étrangers, comme le vomi, de la cavité buccale. </w:t>
      </w:r>
      <w:r>
        <w:rPr>
          <w:b/>
          <w:color w:val="2E4F4F"/>
          <w:sz w:val="18"/>
        </w:rPr>
        <w:t>Faire 5 </w:t>
      </w:r>
      <w:r>
        <w:rPr>
          <w:b/>
          <w:color w:val="231F20"/>
          <w:sz w:val="18"/>
        </w:rPr>
        <w:t>compressions  sur  la  région  de  l'estomac  (Manœuvre  de  Heimlich)  dans  la   position   inclinée (patient assis ou</w:t>
      </w:r>
      <w:r>
        <w:rPr>
          <w:b/>
          <w:color w:val="231F20"/>
          <w:spacing w:val="3"/>
          <w:sz w:val="18"/>
        </w:rPr>
        <w:t> </w:t>
      </w:r>
      <w:r>
        <w:rPr>
          <w:b/>
          <w:color w:val="231F20"/>
          <w:sz w:val="18"/>
        </w:rPr>
        <w:t>debout).</w:t>
      </w:r>
    </w:p>
    <w:p>
      <w:pPr>
        <w:spacing w:before="57"/>
        <w:ind w:left="1063" w:right="0" w:firstLine="0"/>
        <w:jc w:val="both"/>
        <w:rPr>
          <w:sz w:val="18"/>
        </w:rPr>
      </w:pPr>
      <w:r>
        <w:rPr/>
        <w:drawing>
          <wp:anchor distT="0" distB="0" distL="0" distR="0" allowOverlap="1" layoutInCell="1" locked="0" behindDoc="0" simplePos="0" relativeHeight="251662336">
            <wp:simplePos x="0" y="0"/>
            <wp:positionH relativeFrom="page">
              <wp:posOffset>3020903</wp:posOffset>
            </wp:positionH>
            <wp:positionV relativeFrom="paragraph">
              <wp:posOffset>411020</wp:posOffset>
            </wp:positionV>
            <wp:extent cx="3345892" cy="2665882"/>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345892" cy="2665882"/>
                    </a:xfrm>
                    <a:prstGeom prst="rect">
                      <a:avLst/>
                    </a:prstGeom>
                  </pic:spPr>
                </pic:pic>
              </a:graphicData>
            </a:graphic>
          </wp:anchor>
        </w:drawing>
      </w:r>
      <w:r>
        <w:rPr>
          <w:b/>
          <w:color w:val="231F20"/>
          <w:sz w:val="18"/>
        </w:rPr>
        <w:t>Si la procédure n'a pas réussie</w:t>
      </w:r>
      <w:r>
        <w:rPr>
          <w:color w:val="231F20"/>
          <w:sz w:val="18"/>
        </w:rPr>
        <w:t>, recommencer avec les 5 claques dans le dos.</w:t>
      </w: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rPr>
          <w:b w:val="0"/>
          <w:sz w:val="18"/>
        </w:rPr>
      </w:pPr>
    </w:p>
    <w:p>
      <w:pPr>
        <w:pStyle w:val="BodyText"/>
        <w:spacing w:before="8"/>
        <w:rPr>
          <w:b w:val="0"/>
          <w:sz w:val="23"/>
        </w:rPr>
      </w:pPr>
    </w:p>
    <w:p>
      <w:pPr>
        <w:spacing w:before="0"/>
        <w:ind w:left="934" w:right="0" w:firstLine="0"/>
        <w:jc w:val="left"/>
        <w:rPr>
          <w:b/>
          <w:sz w:val="18"/>
        </w:rPr>
      </w:pPr>
      <w:r>
        <w:rPr>
          <w:b/>
          <w:color w:val="231F20"/>
          <w:sz w:val="18"/>
        </w:rPr>
        <w:t>MANŒUVRE DE HEIMLICH</w:t>
      </w:r>
    </w:p>
    <w:p>
      <w:pPr>
        <w:spacing w:after="0"/>
        <w:jc w:val="left"/>
        <w:rPr>
          <w:sz w:val="18"/>
        </w:rPr>
        <w:sectPr>
          <w:footerReference w:type="default" r:id="rId5"/>
          <w:type w:val="continuous"/>
          <w:pgSz w:w="11900" w:h="16840"/>
          <w:pgMar w:footer="1739" w:top="1600" w:bottom="1920" w:left="1480" w:right="800"/>
          <w:pgNumType w:start="91"/>
        </w:sectPr>
      </w:pPr>
    </w:p>
    <w:p>
      <w:pPr>
        <w:pStyle w:val="ListParagraph"/>
        <w:numPr>
          <w:ilvl w:val="0"/>
          <w:numId w:val="2"/>
        </w:numPr>
        <w:tabs>
          <w:tab w:pos="1591" w:val="left" w:leader="none"/>
        </w:tabs>
        <w:spacing w:line="240" w:lineRule="auto" w:before="129" w:after="0"/>
        <w:ind w:left="1590" w:right="0" w:hanging="330"/>
        <w:jc w:val="left"/>
        <w:rPr>
          <w:b/>
          <w:sz w:val="20"/>
        </w:rPr>
      </w:pPr>
      <w:r>
        <w:rPr>
          <w:b/>
          <w:color w:val="231F20"/>
          <w:sz w:val="20"/>
          <w:u w:val="thick" w:color="231F20"/>
        </w:rPr>
        <w:t>Patient debout ou assis (Manœuvre de</w:t>
      </w:r>
      <w:r>
        <w:rPr>
          <w:b/>
          <w:color w:val="231F20"/>
          <w:spacing w:val="2"/>
          <w:sz w:val="20"/>
          <w:u w:val="thick" w:color="231F20"/>
        </w:rPr>
        <w:t> </w:t>
      </w:r>
      <w:r>
        <w:rPr>
          <w:b/>
          <w:color w:val="231F20"/>
          <w:sz w:val="20"/>
          <w:u w:val="thick" w:color="231F20"/>
        </w:rPr>
        <w:t>Heimlich)</w:t>
      </w:r>
    </w:p>
    <w:p>
      <w:pPr>
        <w:pStyle w:val="BodyText"/>
        <w:spacing w:before="2"/>
        <w:rPr>
          <w:sz w:val="19"/>
        </w:rPr>
      </w:pPr>
    </w:p>
    <w:p>
      <w:pPr>
        <w:pStyle w:val="ListParagraph"/>
        <w:numPr>
          <w:ilvl w:val="1"/>
          <w:numId w:val="2"/>
        </w:numPr>
        <w:tabs>
          <w:tab w:pos="2546" w:val="left" w:leader="none"/>
          <w:tab w:pos="2548" w:val="left" w:leader="none"/>
        </w:tabs>
        <w:spacing w:line="240" w:lineRule="auto" w:before="0" w:after="0"/>
        <w:ind w:left="2565" w:right="643" w:hanging="329"/>
        <w:jc w:val="left"/>
        <w:rPr>
          <w:b/>
          <w:sz w:val="20"/>
        </w:rPr>
      </w:pPr>
      <w:r>
        <w:rPr>
          <w:b/>
          <w:color w:val="231F20"/>
          <w:sz w:val="20"/>
        </w:rPr>
        <w:t>Il faut se placer derrière la victime, placer les bras sous les siens et enserrer la taille</w:t>
      </w:r>
      <w:r>
        <w:rPr>
          <w:b/>
          <w:color w:val="231F20"/>
          <w:spacing w:val="1"/>
          <w:sz w:val="20"/>
        </w:rPr>
        <w:t> </w:t>
      </w:r>
      <w:r>
        <w:rPr>
          <w:b/>
          <w:color w:val="231F20"/>
          <w:sz w:val="20"/>
        </w:rPr>
        <w:t>;</w:t>
      </w:r>
    </w:p>
    <w:p>
      <w:pPr>
        <w:pStyle w:val="BodyText"/>
        <w:spacing w:before="2"/>
        <w:rPr>
          <w:sz w:val="19"/>
        </w:rPr>
      </w:pPr>
    </w:p>
    <w:p>
      <w:pPr>
        <w:pStyle w:val="ListParagraph"/>
        <w:numPr>
          <w:ilvl w:val="1"/>
          <w:numId w:val="2"/>
        </w:numPr>
        <w:tabs>
          <w:tab w:pos="2546" w:val="left" w:leader="none"/>
          <w:tab w:pos="2548" w:val="left" w:leader="none"/>
        </w:tabs>
        <w:spacing w:line="240" w:lineRule="auto" w:before="0" w:after="0"/>
        <w:ind w:left="2565" w:right="358" w:hanging="329"/>
        <w:jc w:val="left"/>
        <w:rPr>
          <w:b/>
          <w:sz w:val="20"/>
        </w:rPr>
      </w:pPr>
      <w:r>
        <w:rPr>
          <w:b/>
          <w:color w:val="231F20"/>
          <w:sz w:val="20"/>
        </w:rPr>
        <w:t>Il faut ensuite placer le poing, paume tournée vers le sol, au niveau du creux épigastrique ; l’autre main libre attrape le poignet. On réalise </w:t>
      </w:r>
      <w:r>
        <w:rPr>
          <w:b/>
          <w:color w:val="231F20"/>
          <w:spacing w:val="-3"/>
          <w:sz w:val="20"/>
        </w:rPr>
        <w:t>un </w:t>
      </w:r>
      <w:r>
        <w:rPr>
          <w:b/>
          <w:color w:val="231F20"/>
          <w:sz w:val="20"/>
        </w:rPr>
        <w:t>mouvement brutal vers le haut et l’arrière. Répéter immédiatement si le corps étranger n’a pas été vomi ou craché par les ou les patientes ou l’enfant.</w:t>
      </w:r>
    </w:p>
    <w:p>
      <w:pPr>
        <w:pStyle w:val="BodyText"/>
      </w:pPr>
    </w:p>
    <w:p>
      <w:pPr>
        <w:pStyle w:val="BodyText"/>
      </w:pPr>
    </w:p>
    <w:p>
      <w:pPr>
        <w:pStyle w:val="BodyText"/>
        <w:spacing w:before="2"/>
        <w:rPr>
          <w:sz w:val="15"/>
        </w:rPr>
      </w:pPr>
      <w:r>
        <w:rPr/>
        <w:drawing>
          <wp:anchor distT="0" distB="0" distL="0" distR="0" allowOverlap="1" layoutInCell="1" locked="0" behindDoc="0" simplePos="0" relativeHeight="5">
            <wp:simplePos x="0" y="0"/>
            <wp:positionH relativeFrom="page">
              <wp:posOffset>2011969</wp:posOffset>
            </wp:positionH>
            <wp:positionV relativeFrom="paragraph">
              <wp:posOffset>136049</wp:posOffset>
            </wp:positionV>
            <wp:extent cx="1733246" cy="2166937"/>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733246" cy="2166937"/>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4532101</wp:posOffset>
            </wp:positionH>
            <wp:positionV relativeFrom="paragraph">
              <wp:posOffset>196795</wp:posOffset>
            </wp:positionV>
            <wp:extent cx="1750794" cy="2106263"/>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1750794" cy="2106263"/>
                    </a:xfrm>
                    <a:prstGeom prst="rect">
                      <a:avLst/>
                    </a:prstGeom>
                  </pic:spPr>
                </pic:pic>
              </a:graphicData>
            </a:graphic>
          </wp:anchor>
        </w:drawing>
      </w:r>
    </w:p>
    <w:p>
      <w:pPr>
        <w:pStyle w:val="BodyText"/>
      </w:pPr>
    </w:p>
    <w:p>
      <w:pPr>
        <w:pStyle w:val="BodyText"/>
      </w:pPr>
    </w:p>
    <w:p>
      <w:pPr>
        <w:pStyle w:val="BodyText"/>
        <w:spacing w:before="1"/>
        <w:rPr>
          <w:sz w:val="17"/>
        </w:rPr>
      </w:pPr>
    </w:p>
    <w:p>
      <w:pPr>
        <w:pStyle w:val="ListParagraph"/>
        <w:numPr>
          <w:ilvl w:val="0"/>
          <w:numId w:val="2"/>
        </w:numPr>
        <w:tabs>
          <w:tab w:pos="1899" w:val="left" w:leader="none"/>
        </w:tabs>
        <w:spacing w:line="240" w:lineRule="auto" w:before="0" w:after="0"/>
        <w:ind w:left="1898" w:right="0" w:hanging="321"/>
        <w:jc w:val="left"/>
        <w:rPr>
          <w:b/>
          <w:sz w:val="20"/>
        </w:rPr>
      </w:pPr>
      <w:r>
        <w:rPr>
          <w:b/>
          <w:color w:val="231F20"/>
          <w:sz w:val="20"/>
          <w:u w:val="thick" w:color="231F20"/>
        </w:rPr>
        <w:t>Patient inconscient</w:t>
      </w:r>
      <w:r>
        <w:rPr>
          <w:b/>
          <w:color w:val="231F20"/>
          <w:spacing w:val="-4"/>
          <w:sz w:val="20"/>
          <w:u w:val="thick" w:color="231F20"/>
        </w:rPr>
        <w:t> </w:t>
      </w:r>
      <w:r>
        <w:rPr>
          <w:b/>
          <w:color w:val="231F20"/>
          <w:sz w:val="20"/>
          <w:u w:val="thick" w:color="231F20"/>
        </w:rPr>
        <w:t>:</w:t>
      </w:r>
    </w:p>
    <w:p>
      <w:pPr>
        <w:pStyle w:val="BodyText"/>
        <w:spacing w:before="11"/>
        <w:rPr>
          <w:sz w:val="12"/>
        </w:rPr>
      </w:pPr>
    </w:p>
    <w:p>
      <w:pPr>
        <w:pStyle w:val="BodyText"/>
        <w:spacing w:before="69"/>
        <w:ind w:left="1261" w:right="64"/>
      </w:pPr>
      <w:r>
        <w:rPr>
          <w:color w:val="231F20"/>
        </w:rPr>
        <w:t>S’asseoir en califourchon sur les cuisses de la victime. On place le talon d’une main sur le creux épigastrique, (NON les côtes), on le recouvre avec l’autre main libre. On exerce une brusque pression, vers le haut et l’arrière, bras tendus. A renouveler plusieurs fois jusqu'à ce le corps étranger ou l’objet se vomisse ou se crache.</w:t>
      </w:r>
    </w:p>
    <w:p>
      <w:pPr>
        <w:pStyle w:val="BodyText"/>
      </w:pPr>
    </w:p>
    <w:p>
      <w:pPr>
        <w:pStyle w:val="BodyText"/>
      </w:pPr>
    </w:p>
    <w:p>
      <w:pPr>
        <w:pStyle w:val="BodyText"/>
        <w:spacing w:before="2"/>
        <w:rPr>
          <w:sz w:val="15"/>
        </w:rPr>
      </w:pPr>
      <w:r>
        <w:rPr/>
        <w:pict>
          <v:group style="position:absolute;margin-left:102.892921pt;margin-top:10.694354pt;width:441.8pt;height:174.35pt;mso-position-horizontal-relative:page;mso-position-vertical-relative:paragraph;z-index:-251651072;mso-wrap-distance-left:0;mso-wrap-distance-right:0" coordorigin="2058,214" coordsize="8836,3487">
            <v:shape style="position:absolute;left:4549;top:213;width:4443;height:3263" type="#_x0000_t75" stroked="false">
              <v:imagedata r:id="rId10" o:title=""/>
            </v:shape>
            <v:rect style="position:absolute;left:2057;top:3535;width:8836;height:166" filled="true" fillcolor="#e6e7e8" stroked="false">
              <v:fill type="solid"/>
            </v:rect>
            <w10:wrap type="topAndBottom"/>
          </v:group>
        </w:pict>
      </w:r>
    </w:p>
    <w:sectPr>
      <w:pgSz w:w="11900" w:h="16840"/>
      <w:pgMar w:header="0" w:footer="1739" w:top="1600" w:bottom="1920" w:left="14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316.177887pt;margin-top:744.038208pt;width:15.1pt;height:11.15pt;mso-position-horizontal-relative:page;mso-position-vertical-relative:page;z-index:-251802624" type="#_x0000_t202" filled="false" stroked="false">
          <v:textbox inset="0,0,0,0">
            <w:txbxContent>
              <w:p>
                <w:pPr>
                  <w:spacing w:line="190" w:lineRule="exact" w:before="31"/>
                  <w:ind w:left="60" w:right="0" w:firstLine="0"/>
                  <w:jc w:val="left"/>
                  <w:rPr>
                    <w:rFonts w:ascii="Times New Roman"/>
                    <w:sz w:val="18"/>
                  </w:rPr>
                </w:pPr>
                <w:r>
                  <w:rPr/>
                  <w:fldChar w:fldCharType="begin"/>
                </w:r>
                <w:r>
                  <w:rPr>
                    <w:rFonts w:ascii="Times New Roman"/>
                    <w:color w:val="231F20"/>
                    <w:sz w:val="18"/>
                  </w:rPr>
                  <w:instrText> PAGE </w:instrText>
                </w:r>
                <w:r>
                  <w:rPr/>
                  <w:fldChar w:fldCharType="separate"/>
                </w:r>
                <w:r>
                  <w:rPr/>
                  <w:t>91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590" w:hanging="329"/>
        <w:jc w:val="right"/>
      </w:pPr>
      <w:rPr>
        <w:rFonts w:hint="default" w:ascii="Arial" w:hAnsi="Arial" w:eastAsia="Arial" w:cs="Arial"/>
        <w:b/>
        <w:bCs/>
        <w:color w:val="231F20"/>
        <w:spacing w:val="-1"/>
        <w:w w:val="101"/>
        <w:sz w:val="20"/>
        <w:szCs w:val="20"/>
      </w:rPr>
    </w:lvl>
    <w:lvl w:ilvl="1">
      <w:start w:val="0"/>
      <w:numFmt w:val="bullet"/>
      <w:lvlText w:val=""/>
      <w:lvlJc w:val="left"/>
      <w:pPr>
        <w:ind w:left="2565" w:hanging="311"/>
      </w:pPr>
      <w:rPr>
        <w:rFonts w:hint="default" w:ascii="Symbol" w:hAnsi="Symbol" w:eastAsia="Symbol" w:cs="Symbol"/>
        <w:color w:val="231F20"/>
        <w:w w:val="100"/>
        <w:sz w:val="20"/>
        <w:szCs w:val="20"/>
      </w:rPr>
    </w:lvl>
    <w:lvl w:ilvl="2">
      <w:start w:val="0"/>
      <w:numFmt w:val="bullet"/>
      <w:lvlText w:val="•"/>
      <w:lvlJc w:val="left"/>
      <w:pPr>
        <w:ind w:left="3344" w:hanging="311"/>
      </w:pPr>
      <w:rPr>
        <w:rFonts w:hint="default"/>
      </w:rPr>
    </w:lvl>
    <w:lvl w:ilvl="3">
      <w:start w:val="0"/>
      <w:numFmt w:val="bullet"/>
      <w:lvlText w:val="•"/>
      <w:lvlJc w:val="left"/>
      <w:pPr>
        <w:ind w:left="4128" w:hanging="311"/>
      </w:pPr>
      <w:rPr>
        <w:rFonts w:hint="default"/>
      </w:rPr>
    </w:lvl>
    <w:lvl w:ilvl="4">
      <w:start w:val="0"/>
      <w:numFmt w:val="bullet"/>
      <w:lvlText w:val="•"/>
      <w:lvlJc w:val="left"/>
      <w:pPr>
        <w:ind w:left="4913" w:hanging="311"/>
      </w:pPr>
      <w:rPr>
        <w:rFonts w:hint="default"/>
      </w:rPr>
    </w:lvl>
    <w:lvl w:ilvl="5">
      <w:start w:val="0"/>
      <w:numFmt w:val="bullet"/>
      <w:lvlText w:val="•"/>
      <w:lvlJc w:val="left"/>
      <w:pPr>
        <w:ind w:left="5697" w:hanging="311"/>
      </w:pPr>
      <w:rPr>
        <w:rFonts w:hint="default"/>
      </w:rPr>
    </w:lvl>
    <w:lvl w:ilvl="6">
      <w:start w:val="0"/>
      <w:numFmt w:val="bullet"/>
      <w:lvlText w:val="•"/>
      <w:lvlJc w:val="left"/>
      <w:pPr>
        <w:ind w:left="6482" w:hanging="311"/>
      </w:pPr>
      <w:rPr>
        <w:rFonts w:hint="default"/>
      </w:rPr>
    </w:lvl>
    <w:lvl w:ilvl="7">
      <w:start w:val="0"/>
      <w:numFmt w:val="bullet"/>
      <w:lvlText w:val="•"/>
      <w:lvlJc w:val="left"/>
      <w:pPr>
        <w:ind w:left="7266" w:hanging="311"/>
      </w:pPr>
      <w:rPr>
        <w:rFonts w:hint="default"/>
      </w:rPr>
    </w:lvl>
    <w:lvl w:ilvl="8">
      <w:start w:val="0"/>
      <w:numFmt w:val="bullet"/>
      <w:lvlText w:val="•"/>
      <w:lvlJc w:val="left"/>
      <w:pPr>
        <w:ind w:left="8051" w:hanging="311"/>
      </w:pPr>
      <w:rPr>
        <w:rFonts w:hint="default"/>
      </w:rPr>
    </w:lvl>
  </w:abstractNum>
  <w:abstractNum w:abstractNumId="0">
    <w:multiLevelType w:val="hybridMultilevel"/>
    <w:lvl w:ilvl="0">
      <w:start w:val="1"/>
      <w:numFmt w:val="decimal"/>
      <w:lvlText w:val="%1)"/>
      <w:lvlJc w:val="left"/>
      <w:pPr>
        <w:ind w:left="4111" w:hanging="362"/>
        <w:jc w:val="left"/>
      </w:pPr>
      <w:rPr>
        <w:rFonts w:hint="default"/>
        <w:b/>
        <w:bCs/>
        <w:spacing w:val="-1"/>
        <w:w w:val="100"/>
      </w:rPr>
    </w:lvl>
    <w:lvl w:ilvl="1">
      <w:start w:val="0"/>
      <w:numFmt w:val="bullet"/>
      <w:lvlText w:val="•"/>
      <w:lvlJc w:val="left"/>
      <w:pPr>
        <w:ind w:left="4615" w:hanging="362"/>
      </w:pPr>
      <w:rPr>
        <w:rFonts w:hint="default"/>
      </w:rPr>
    </w:lvl>
    <w:lvl w:ilvl="2">
      <w:start w:val="0"/>
      <w:numFmt w:val="bullet"/>
      <w:lvlText w:val="•"/>
      <w:lvlJc w:val="left"/>
      <w:pPr>
        <w:ind w:left="5111" w:hanging="362"/>
      </w:pPr>
      <w:rPr>
        <w:rFonts w:hint="default"/>
      </w:rPr>
    </w:lvl>
    <w:lvl w:ilvl="3">
      <w:start w:val="0"/>
      <w:numFmt w:val="bullet"/>
      <w:lvlText w:val="•"/>
      <w:lvlJc w:val="left"/>
      <w:pPr>
        <w:ind w:left="5607" w:hanging="362"/>
      </w:pPr>
      <w:rPr>
        <w:rFonts w:hint="default"/>
      </w:rPr>
    </w:lvl>
    <w:lvl w:ilvl="4">
      <w:start w:val="0"/>
      <w:numFmt w:val="bullet"/>
      <w:lvlText w:val="•"/>
      <w:lvlJc w:val="left"/>
      <w:pPr>
        <w:ind w:left="6103" w:hanging="362"/>
      </w:pPr>
      <w:rPr>
        <w:rFonts w:hint="default"/>
      </w:rPr>
    </w:lvl>
    <w:lvl w:ilvl="5">
      <w:start w:val="0"/>
      <w:numFmt w:val="bullet"/>
      <w:lvlText w:val="•"/>
      <w:lvlJc w:val="left"/>
      <w:pPr>
        <w:ind w:left="6599" w:hanging="362"/>
      </w:pPr>
      <w:rPr>
        <w:rFonts w:hint="default"/>
      </w:rPr>
    </w:lvl>
    <w:lvl w:ilvl="6">
      <w:start w:val="0"/>
      <w:numFmt w:val="bullet"/>
      <w:lvlText w:val="•"/>
      <w:lvlJc w:val="left"/>
      <w:pPr>
        <w:ind w:left="7095" w:hanging="362"/>
      </w:pPr>
      <w:rPr>
        <w:rFonts w:hint="default"/>
      </w:rPr>
    </w:lvl>
    <w:lvl w:ilvl="7">
      <w:start w:val="0"/>
      <w:numFmt w:val="bullet"/>
      <w:lvlText w:val="•"/>
      <w:lvlJc w:val="left"/>
      <w:pPr>
        <w:ind w:left="7590" w:hanging="362"/>
      </w:pPr>
      <w:rPr>
        <w:rFonts w:hint="default"/>
      </w:rPr>
    </w:lvl>
    <w:lvl w:ilvl="8">
      <w:start w:val="0"/>
      <w:numFmt w:val="bullet"/>
      <w:lvlText w:val="•"/>
      <w:lvlJc w:val="left"/>
      <w:pPr>
        <w:ind w:left="8086" w:hanging="36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b/>
      <w:bCs/>
      <w:sz w:val="20"/>
      <w:szCs w:val="20"/>
    </w:rPr>
  </w:style>
  <w:style w:styleId="Heading1" w:type="paragraph">
    <w:name w:val="Heading 1"/>
    <w:basedOn w:val="Normal"/>
    <w:uiPriority w:val="1"/>
    <w:qFormat/>
    <w:pPr>
      <w:spacing w:before="22"/>
      <w:ind w:left="1819" w:right="2866"/>
      <w:jc w:val="center"/>
      <w:outlineLvl w:val="1"/>
    </w:pPr>
    <w:rPr>
      <w:rFonts w:ascii="Arial" w:hAnsi="Arial" w:eastAsia="Arial" w:cs="Arial"/>
      <w:b/>
      <w:bCs/>
      <w:sz w:val="25"/>
      <w:szCs w:val="25"/>
    </w:rPr>
  </w:style>
  <w:style w:styleId="ListParagraph" w:type="paragraph">
    <w:name w:val="List Paragraph"/>
    <w:basedOn w:val="Normal"/>
    <w:uiPriority w:val="1"/>
    <w:qFormat/>
    <w:pPr>
      <w:ind w:left="2565" w:hanging="32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dc:title>Guide SPT Vs Final signé 09.06.12.pdf</dc:title>
  <dcterms:created xsi:type="dcterms:W3CDTF">2020-02-25T15:31:50Z</dcterms:created>
  <dcterms:modified xsi:type="dcterms:W3CDTF">2020-02-25T15:31:50Z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Bullzip PDF Printer (10.8.0.2282)</vt:lpwstr>
  </property>
  <property fmtid="{D5CDD505-2E9C-101B-9397-08002B2CF9AE}" pid="4" name="LastSaved">
    <vt:filetime>2020-02-25T00:00:00Z</vt:filetime>
  </property>
</Properties>
</file>