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pStyle w:val="BodyText"/>
        <w:ind w:left="346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3.3pt;height:17.3pt;mso-position-horizontal-relative:char;mso-position-vertical-relative:line" type="#_x0000_t202" filled="true" fillcolor="#e6e7e8" stroked="true" strokeweight=".583126pt" strokecolor="#231f20">
            <w10:anchorlock/>
            <v:textbox inset="0,0,0,0">
              <w:txbxContent>
                <w:p>
                  <w:pPr>
                    <w:spacing w:before="25"/>
                    <w:ind w:left="2700" w:right="2700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CHOC HYPOVOLEMIQUE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Heading1"/>
        <w:numPr>
          <w:ilvl w:val="0"/>
          <w:numId w:val="1"/>
        </w:numPr>
        <w:tabs>
          <w:tab w:pos="630" w:val="left" w:leader="none"/>
        </w:tabs>
        <w:spacing w:line="240" w:lineRule="auto" w:before="69" w:after="0"/>
        <w:ind w:left="629" w:right="0" w:hanging="227"/>
        <w:jc w:val="left"/>
      </w:pPr>
      <w:r>
        <w:rPr>
          <w:color w:val="231F20"/>
          <w:u w:val="thick" w:color="231F20"/>
        </w:rPr>
        <w:t>Définition des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cas</w:t>
      </w:r>
    </w:p>
    <w:p>
      <w:pPr>
        <w:pStyle w:val="BodyText"/>
        <w:spacing w:before="113"/>
        <w:ind w:left="452" w:right="612" w:hanging="49"/>
      </w:pPr>
      <w:r>
        <w:rPr>
          <w:color w:val="231F20"/>
        </w:rPr>
        <w:t>Un choc hypovolémique se produit au moment où la circulation sanguine du patient a des difficultés       à se maintenir à cause de liquide perdu : saignement, déshydratation aiguë ou chronique,</w:t>
      </w:r>
      <w:r>
        <w:rPr>
          <w:color w:val="231F20"/>
          <w:spacing w:val="8"/>
        </w:rPr>
        <w:t> </w:t>
      </w:r>
      <w:r>
        <w:rPr>
          <w:color w:val="231F20"/>
        </w:rPr>
        <w:t>brûlures.</w:t>
      </w:r>
    </w:p>
    <w:p>
      <w:pPr>
        <w:pStyle w:val="Heading1"/>
        <w:numPr>
          <w:ilvl w:val="1"/>
          <w:numId w:val="1"/>
        </w:numPr>
        <w:tabs>
          <w:tab w:pos="859" w:val="left" w:leader="none"/>
        </w:tabs>
        <w:spacing w:line="240" w:lineRule="auto" w:before="114" w:after="0"/>
        <w:ind w:left="858" w:right="0" w:hanging="260"/>
        <w:jc w:val="left"/>
      </w:pPr>
      <w:r>
        <w:rPr>
          <w:color w:val="231F20"/>
        </w:rPr>
        <w:t>Penser au choc hypovolémique en cas de :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80" w:right="1180"/>
        </w:sectPr>
      </w:pPr>
    </w:p>
    <w:p>
      <w:pPr>
        <w:pStyle w:val="Heading2"/>
        <w:numPr>
          <w:ilvl w:val="2"/>
          <w:numId w:val="1"/>
        </w:numPr>
        <w:tabs>
          <w:tab w:pos="1627" w:val="left" w:leader="none"/>
        </w:tabs>
        <w:spacing w:line="240" w:lineRule="auto" w:before="55" w:after="0"/>
        <w:ind w:left="1626" w:right="0" w:hanging="125"/>
        <w:jc w:val="left"/>
      </w:pPr>
      <w:r>
        <w:rPr>
          <w:color w:val="231F20"/>
        </w:rPr>
        <w:t>hémorragie externe ou</w:t>
      </w:r>
      <w:r>
        <w:rPr>
          <w:color w:val="231F20"/>
          <w:spacing w:val="3"/>
        </w:rPr>
        <w:t> </w:t>
      </w:r>
      <w:r>
        <w:rPr>
          <w:color w:val="231F20"/>
        </w:rPr>
        <w:t>interne</w:t>
      </w:r>
    </w:p>
    <w:p>
      <w:pPr>
        <w:pStyle w:val="ListParagraph"/>
        <w:numPr>
          <w:ilvl w:val="2"/>
          <w:numId w:val="1"/>
        </w:numPr>
        <w:tabs>
          <w:tab w:pos="1627" w:val="left" w:leader="none"/>
        </w:tabs>
        <w:spacing w:line="240" w:lineRule="auto" w:before="38" w:after="0"/>
        <w:ind w:left="1626" w:right="0" w:hanging="125"/>
        <w:jc w:val="left"/>
        <w:rPr>
          <w:sz w:val="20"/>
        </w:rPr>
      </w:pPr>
      <w:r>
        <w:rPr>
          <w:color w:val="231F20"/>
          <w:sz w:val="20"/>
        </w:rPr>
        <w:t>brûlures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sévères</w:t>
      </w:r>
    </w:p>
    <w:p>
      <w:pPr>
        <w:pStyle w:val="ListParagraph"/>
        <w:numPr>
          <w:ilvl w:val="2"/>
          <w:numId w:val="1"/>
        </w:numPr>
        <w:tabs>
          <w:tab w:pos="1627" w:val="left" w:leader="none"/>
        </w:tabs>
        <w:spacing w:line="240" w:lineRule="auto" w:before="39" w:after="0"/>
        <w:ind w:left="1626" w:right="0" w:hanging="125"/>
        <w:jc w:val="left"/>
        <w:rPr>
          <w:sz w:val="20"/>
        </w:rPr>
      </w:pPr>
      <w:r>
        <w:rPr>
          <w:color w:val="231F20"/>
          <w:sz w:val="20"/>
        </w:rPr>
        <w:t>péritonite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0" w:lineRule="auto" w:before="146" w:after="0"/>
        <w:ind w:left="858" w:right="0" w:hanging="260"/>
        <w:jc w:val="left"/>
        <w:rPr>
          <w:b/>
          <w:sz w:val="20"/>
        </w:rPr>
      </w:pPr>
      <w:r>
        <w:rPr>
          <w:b/>
          <w:color w:val="231F20"/>
          <w:sz w:val="20"/>
        </w:rPr>
        <w:t>Symptômes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: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55" w:after="0"/>
        <w:ind w:left="629" w:right="0" w:hanging="125"/>
        <w:jc w:val="left"/>
        <w:rPr>
          <w:sz w:val="20"/>
        </w:rPr>
      </w:pPr>
      <w:r>
        <w:rPr>
          <w:color w:val="231F20"/>
          <w:spacing w:val="-1"/>
          <w:w w:val="101"/>
          <w:sz w:val="20"/>
        </w:rPr>
        <w:br w:type="column"/>
      </w:r>
      <w:r>
        <w:rPr>
          <w:color w:val="231F20"/>
          <w:sz w:val="20"/>
        </w:rPr>
        <w:t>diarrhée et vomissement,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déshydratation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38" w:after="0"/>
        <w:ind w:left="629" w:right="0" w:hanging="125"/>
        <w:jc w:val="left"/>
        <w:rPr>
          <w:sz w:val="20"/>
        </w:rPr>
      </w:pPr>
      <w:r>
        <w:rPr>
          <w:color w:val="231F20"/>
          <w:sz w:val="20"/>
        </w:rPr>
        <w:t>occlusion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intestinale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39" w:after="0"/>
        <w:ind w:left="629" w:right="0" w:hanging="125"/>
        <w:jc w:val="left"/>
        <w:rPr>
          <w:sz w:val="20"/>
        </w:rPr>
      </w:pPr>
      <w:r>
        <w:rPr>
          <w:color w:val="231F20"/>
          <w:sz w:val="20"/>
        </w:rPr>
        <w:t>réaction allergique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aiguë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1600" w:bottom="280" w:left="1680" w:right="1180"/>
          <w:cols w:num="2" w:equalWidth="0">
            <w:col w:w="4322" w:space="40"/>
            <w:col w:w="4678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1383"/>
        <w:rPr>
          <w:sz w:val="20"/>
        </w:rPr>
      </w:pPr>
      <w:r>
        <w:rPr>
          <w:position w:val="0"/>
          <w:sz w:val="20"/>
        </w:rPr>
        <w:pict>
          <v:shape style="width:365.65pt;height:54.2pt;mso-position-horizontal-relative:char;mso-position-vertical-relative:line" type="#_x0000_t202" filled="false" stroked="true" strokeweight=".700313pt" strokecolor="#231f20">
            <w10:anchorlock/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446" w:val="left" w:leader="none"/>
                    </w:tabs>
                    <w:spacing w:before="15"/>
                    <w:ind w:left="445" w:right="0" w:hanging="125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Pouls &gt;100/min (patient en</w:t>
                  </w:r>
                  <w:r>
                    <w:rPr>
                      <w:color w:val="231F20"/>
                      <w:spacing w:val="-1"/>
                      <w:sz w:val="20"/>
                    </w:rPr>
                    <w:t> </w:t>
                  </w:r>
                  <w:r>
                    <w:rPr>
                      <w:color w:val="231F20"/>
                      <w:sz w:val="20"/>
                    </w:rPr>
                    <w:t>repos)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446" w:val="left" w:leader="none"/>
                    </w:tabs>
                    <w:spacing w:before="38"/>
                    <w:ind w:left="445" w:right="0" w:hanging="125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Pouls filant (= pouls rapide difficile à</w:t>
                  </w:r>
                  <w:r>
                    <w:rPr>
                      <w:color w:val="231F20"/>
                      <w:spacing w:val="2"/>
                      <w:sz w:val="20"/>
                    </w:rPr>
                    <w:t> </w:t>
                  </w:r>
                  <w:r>
                    <w:rPr>
                      <w:color w:val="231F20"/>
                      <w:sz w:val="20"/>
                    </w:rPr>
                    <w:t>palper)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446" w:val="left" w:leader="none"/>
                    </w:tabs>
                    <w:spacing w:before="39"/>
                    <w:ind w:left="445" w:right="0" w:hanging="125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La </w:t>
                  </w:r>
                  <w:r>
                    <w:rPr>
                      <w:color w:val="231F20"/>
                      <w:spacing w:val="-3"/>
                      <w:sz w:val="20"/>
                    </w:rPr>
                    <w:t>TA </w:t>
                  </w:r>
                  <w:r>
                    <w:rPr>
                      <w:color w:val="231F20"/>
                      <w:sz w:val="20"/>
                    </w:rPr>
                    <w:t>baisse graduellement ou TA</w:t>
                  </w:r>
                  <w:r>
                    <w:rPr>
                      <w:color w:val="231F20"/>
                      <w:sz w:val="20"/>
                      <w:vertAlign w:val="subscript"/>
                    </w:rPr>
                    <w:t>max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 &lt; 9</w:t>
                  </w:r>
                  <w:r>
                    <w:rPr>
                      <w:color w:val="231F20"/>
                      <w:spacing w:val="9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cmHg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446" w:val="left" w:leader="none"/>
                    </w:tabs>
                    <w:spacing w:before="36"/>
                    <w:ind w:left="445" w:right="0" w:hanging="125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Symptômes non spécifiques : patient devient confus, nerveux, agité,</w:t>
                  </w:r>
                  <w:r>
                    <w:rPr>
                      <w:color w:val="231F20"/>
                      <w:spacing w:val="2"/>
                      <w:sz w:val="20"/>
                    </w:rPr>
                    <w:t> </w:t>
                  </w:r>
                  <w:r>
                    <w:rPr>
                      <w:color w:val="231F20"/>
                      <w:sz w:val="20"/>
                    </w:rPr>
                    <w:t>soif.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75" w:after="0"/>
        <w:ind w:left="629" w:right="0" w:hanging="227"/>
        <w:jc w:val="left"/>
        <w:rPr>
          <w:b/>
          <w:sz w:val="20"/>
        </w:rPr>
      </w:pPr>
      <w:r>
        <w:rPr>
          <w:b/>
          <w:color w:val="231F20"/>
          <w:sz w:val="20"/>
          <w:u w:val="thick" w:color="231F20"/>
        </w:rPr>
        <w:t>Prise en charge des</w:t>
      </w:r>
      <w:r>
        <w:rPr>
          <w:b/>
          <w:color w:val="231F20"/>
          <w:spacing w:val="-3"/>
          <w:sz w:val="20"/>
          <w:u w:val="thick" w:color="231F20"/>
        </w:rPr>
        <w:t> </w:t>
      </w:r>
      <w:r>
        <w:rPr>
          <w:b/>
          <w:color w:val="231F20"/>
          <w:sz w:val="20"/>
          <w:u w:val="thick" w:color="231F20"/>
        </w:rPr>
        <w:t>cas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</w:tabs>
        <w:spacing w:line="240" w:lineRule="auto" w:before="113" w:after="0"/>
        <w:ind w:left="639" w:right="0" w:hanging="237"/>
        <w:jc w:val="left"/>
        <w:rPr>
          <w:b/>
          <w:sz w:val="20"/>
        </w:rPr>
      </w:pPr>
      <w:r>
        <w:rPr>
          <w:b/>
          <w:color w:val="231F20"/>
          <w:sz w:val="20"/>
        </w:rPr>
        <w:t>Mise en observation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:</w:t>
      </w:r>
    </w:p>
    <w:p>
      <w:pPr>
        <w:pStyle w:val="Heading3"/>
        <w:spacing w:line="242" w:lineRule="auto" w:before="54"/>
        <w:ind w:left="403" w:right="612"/>
      </w:pPr>
      <w:r>
        <w:rPr>
          <w:color w:val="231F20"/>
        </w:rPr>
        <w:t>En cas de référence, les détails de la fiche d’observation doivent être notés sur la fiche de référence pour que le médecin de district puisse mieux estimer l’état de santé du</w:t>
      </w:r>
      <w:r>
        <w:rPr>
          <w:color w:val="231F20"/>
          <w:spacing w:val="31"/>
        </w:rPr>
        <w:t> </w:t>
      </w:r>
      <w:r>
        <w:rPr>
          <w:color w:val="231F20"/>
        </w:rPr>
        <w:t>patient.</w:t>
      </w:r>
    </w:p>
    <w:p>
      <w:pPr>
        <w:spacing w:before="114"/>
        <w:ind w:left="662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Signes à suivre :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240" w:lineRule="auto" w:before="54" w:after="0"/>
        <w:ind w:left="1180" w:right="106" w:hanging="259"/>
        <w:jc w:val="left"/>
        <w:rPr>
          <w:sz w:val="18"/>
        </w:rPr>
      </w:pPr>
      <w:r>
        <w:rPr>
          <w:color w:val="231F20"/>
          <w:sz w:val="18"/>
        </w:rPr>
        <w:t>Pouls, TA, et signes de conscience: chaque 15 minutes si le saignement ne  peut  pas être  arrêté ou en cas de choc grave ; sinon, chaque 30 minutes à une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heure.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3513" w:val="left" w:leader="none"/>
        </w:tabs>
        <w:spacing w:line="240" w:lineRule="auto" w:before="42" w:after="0"/>
        <w:ind w:left="1180" w:right="0" w:hanging="260"/>
        <w:jc w:val="left"/>
        <w:rPr>
          <w:sz w:val="18"/>
        </w:rPr>
      </w:pPr>
      <w:r>
        <w:rPr>
          <w:color w:val="231F20"/>
          <w:sz w:val="18"/>
        </w:rPr>
        <w:t>Niveaux de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conscience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:</w:t>
        <w:tab/>
        <w:t>Niveau 1 : conscience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normale</w:t>
      </w:r>
    </w:p>
    <w:p>
      <w:pPr>
        <w:pStyle w:val="BodyText"/>
        <w:spacing w:line="285" w:lineRule="auto" w:before="36"/>
        <w:ind w:left="3513" w:right="1344"/>
      </w:pPr>
      <w:r>
        <w:rPr>
          <w:color w:val="231F20"/>
        </w:rPr>
        <w:t>Niveau 2 : confus, mais répond aux questions Niveau 3 : répond difficilement, suit des ordres Niveau 4 : réagit à des stimulations</w:t>
      </w:r>
    </w:p>
    <w:p>
      <w:pPr>
        <w:pStyle w:val="BodyText"/>
        <w:spacing w:before="3"/>
        <w:ind w:left="3513"/>
      </w:pPr>
      <w:r>
        <w:rPr>
          <w:color w:val="231F20"/>
        </w:rPr>
        <w:t>Niveau 5 : ne réagit plus à la douleur</w:t>
      </w:r>
    </w:p>
    <w:p>
      <w:pPr>
        <w:pStyle w:val="ListParagraph"/>
        <w:numPr>
          <w:ilvl w:val="1"/>
          <w:numId w:val="4"/>
        </w:numPr>
        <w:tabs>
          <w:tab w:pos="1183" w:val="left" w:leader="none"/>
        </w:tabs>
        <w:spacing w:line="240" w:lineRule="auto" w:before="40" w:after="0"/>
        <w:ind w:left="1182" w:right="106" w:hanging="259"/>
        <w:jc w:val="left"/>
        <w:rPr>
          <w:sz w:val="18"/>
        </w:rPr>
      </w:pPr>
      <w:r>
        <w:rPr>
          <w:color w:val="231F20"/>
          <w:sz w:val="18"/>
        </w:rPr>
        <w:t>T° : à l’arrivée du patient, puis chaque trois heures s’il existe un risque d’infection ou si la première prise était &gt; 38,5°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C.</w:t>
      </w:r>
    </w:p>
    <w:p>
      <w:pPr>
        <w:pStyle w:val="Heading2"/>
        <w:spacing w:before="115" w:after="58"/>
        <w:ind w:left="1427" w:firstLine="0"/>
      </w:pPr>
      <w:r>
        <w:rPr>
          <w:color w:val="231F20"/>
        </w:rPr>
        <w:t>FICHE D’OBSERVATION POUR UN PATIENT EN CHOC HYPOVOLEMIQUE</w:t>
      </w:r>
    </w:p>
    <w:tbl>
      <w:tblPr>
        <w:tblW w:w="0" w:type="auto"/>
        <w:jc w:val="left"/>
        <w:tblInd w:w="74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615"/>
        <w:gridCol w:w="616"/>
        <w:gridCol w:w="617"/>
        <w:gridCol w:w="616"/>
        <w:gridCol w:w="616"/>
        <w:gridCol w:w="616"/>
        <w:gridCol w:w="614"/>
        <w:gridCol w:w="617"/>
        <w:gridCol w:w="616"/>
      </w:tblGrid>
      <w:tr>
        <w:trPr>
          <w:trHeight w:val="263" w:hRule="atLeast"/>
        </w:trPr>
        <w:tc>
          <w:tcPr>
            <w:tcW w:w="2396" w:type="dxa"/>
          </w:tcPr>
          <w:p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Date et heure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2396" w:type="dxa"/>
          </w:tcPr>
          <w:p>
            <w:pPr>
              <w:pStyle w:val="TableParagraph"/>
              <w:spacing w:before="35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Pouls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2396" w:type="dxa"/>
          </w:tcPr>
          <w:p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TA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2396" w:type="dxa"/>
          </w:tcPr>
          <w:p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Niveau de conscience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2396" w:type="dxa"/>
          </w:tcPr>
          <w:p>
            <w:pPr>
              <w:pStyle w:val="TableParagraph"/>
              <w:spacing w:before="35"/>
              <w:ind w:left="62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T°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2396" w:type="dxa"/>
          </w:tcPr>
          <w:p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Saignement (+, ++, +++)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40" w:lineRule="auto" w:before="0" w:after="0"/>
        <w:ind w:left="650" w:right="0" w:hanging="248"/>
        <w:jc w:val="left"/>
        <w:rPr>
          <w:b/>
          <w:sz w:val="20"/>
        </w:rPr>
      </w:pPr>
      <w:r>
        <w:rPr>
          <w:b/>
          <w:color w:val="231F20"/>
          <w:sz w:val="20"/>
        </w:rPr>
        <w:t>Traitement</w:t>
      </w:r>
    </w:p>
    <w:p>
      <w:pPr>
        <w:pStyle w:val="ListParagraph"/>
        <w:numPr>
          <w:ilvl w:val="0"/>
          <w:numId w:val="5"/>
        </w:numPr>
        <w:tabs>
          <w:tab w:pos="924" w:val="left" w:leader="none"/>
        </w:tabs>
        <w:spacing w:line="244" w:lineRule="exact" w:before="55" w:after="0"/>
        <w:ind w:left="923" w:right="0" w:hanging="262"/>
        <w:jc w:val="left"/>
        <w:rPr>
          <w:sz w:val="20"/>
        </w:rPr>
      </w:pPr>
      <w:r>
        <w:rPr>
          <w:color w:val="231F20"/>
          <w:sz w:val="20"/>
        </w:rPr>
        <w:t>On traite la cause si possible (voir les SPT respectives)</w:t>
      </w:r>
    </w:p>
    <w:p>
      <w:pPr>
        <w:pStyle w:val="ListParagraph"/>
        <w:numPr>
          <w:ilvl w:val="0"/>
          <w:numId w:val="5"/>
        </w:numPr>
        <w:tabs>
          <w:tab w:pos="924" w:val="left" w:leader="none"/>
        </w:tabs>
        <w:spacing w:line="240" w:lineRule="auto" w:before="0" w:after="0"/>
        <w:ind w:left="923" w:right="103" w:hanging="262"/>
        <w:jc w:val="left"/>
        <w:rPr>
          <w:b/>
          <w:sz w:val="20"/>
        </w:rPr>
      </w:pPr>
      <w:r>
        <w:rPr/>
        <w:pict>
          <v:shape style="position:absolute;margin-left:111.525963pt;margin-top:29.82745pt;width:411.4pt;height:54.2pt;mso-position-horizontal-relative:page;mso-position-vertical-relative:paragraph;z-index:-251656192;mso-wrap-distance-left:0;mso-wrap-distance-right:0" type="#_x0000_t202" filled="false" stroked="true" strokeweight=".584063pt" strokecolor="#231f20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564" w:val="left" w:leader="none"/>
                    </w:tabs>
                    <w:spacing w:before="17"/>
                    <w:ind w:left="563" w:right="0" w:hanging="125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1 litre immédiatement si le risque de choc est</w:t>
                  </w:r>
                  <w:r>
                    <w:rPr>
                      <w:color w:val="231F20"/>
                      <w:spacing w:val="3"/>
                      <w:sz w:val="20"/>
                    </w:rPr>
                    <w:t> </w:t>
                  </w:r>
                  <w:r>
                    <w:rPr>
                      <w:color w:val="231F20"/>
                      <w:sz w:val="20"/>
                    </w:rPr>
                    <w:t>réel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64" w:val="left" w:leader="none"/>
                    </w:tabs>
                    <w:spacing w:before="36"/>
                    <w:ind w:left="563" w:right="0" w:hanging="125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selon la </w:t>
                  </w:r>
                  <w:r>
                    <w:rPr>
                      <w:color w:val="231F20"/>
                      <w:spacing w:val="-3"/>
                      <w:sz w:val="20"/>
                    </w:rPr>
                    <w:t>TA </w:t>
                  </w:r>
                  <w:r>
                    <w:rPr>
                      <w:color w:val="231F20"/>
                      <w:sz w:val="20"/>
                    </w:rPr>
                    <w:t>: chaque baisse d’une unité (exemple : 11 à 10 cmHg) vaut 1</w:t>
                  </w:r>
                  <w:r>
                    <w:rPr>
                      <w:color w:val="231F20"/>
                      <w:spacing w:val="11"/>
                      <w:sz w:val="20"/>
                    </w:rPr>
                    <w:t> </w:t>
                  </w:r>
                  <w:r>
                    <w:rPr>
                      <w:color w:val="231F20"/>
                      <w:sz w:val="20"/>
                    </w:rPr>
                    <w:t>litre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64" w:val="left" w:leader="none"/>
                    </w:tabs>
                    <w:spacing w:before="39"/>
                    <w:ind w:left="563" w:right="0" w:hanging="125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TA</w:t>
                  </w:r>
                  <w:r>
                    <w:rPr>
                      <w:color w:val="231F20"/>
                      <w:sz w:val="20"/>
                      <w:vertAlign w:val="subscript"/>
                    </w:rPr>
                    <w:t>min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 &lt; 6 cmHg : perfusion de Ringer jusqu’à TA</w:t>
                  </w:r>
                  <w:r>
                    <w:rPr>
                      <w:color w:val="231F20"/>
                      <w:sz w:val="20"/>
                      <w:vertAlign w:val="subscript"/>
                    </w:rPr>
                    <w:t>min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 = 8</w:t>
                  </w:r>
                  <w:r>
                    <w:rPr>
                      <w:color w:val="231F20"/>
                      <w:spacing w:val="22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cmHg</w:t>
                  </w:r>
                </w:p>
                <w:p>
                  <w:pPr>
                    <w:spacing w:before="38"/>
                    <w:ind w:left="439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</w:rPr>
                    <w:t>- maintenir la perfusion durant le transport à l’hôpital de</w:t>
                  </w:r>
                  <w:r>
                    <w:rPr>
                      <w:b/>
                      <w:color w:val="231F20"/>
                      <w:spacing w:val="5"/>
                      <w:sz w:val="20"/>
                    </w:rPr>
                    <w:t> </w:t>
                  </w:r>
                  <w:r>
                    <w:rPr>
                      <w:b/>
                      <w:color w:val="231F20"/>
                      <w:sz w:val="20"/>
                    </w:rPr>
                    <w:t>district.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color w:val="231F20"/>
          <w:sz w:val="20"/>
        </w:rPr>
        <w:t>Traitement symptomatique : </w:t>
      </w:r>
      <w:r>
        <w:rPr>
          <w:b/>
          <w:color w:val="231F20"/>
          <w:sz w:val="20"/>
          <w:u w:val="thick" w:color="231F20"/>
        </w:rPr>
        <w:t>Perfusion de Ringer</w:t>
      </w:r>
      <w:r>
        <w:rPr>
          <w:b/>
          <w:color w:val="231F20"/>
          <w:sz w:val="20"/>
        </w:rPr>
        <w:t> </w:t>
      </w:r>
      <w:r>
        <w:rPr>
          <w:i/>
          <w:color w:val="231F20"/>
          <w:sz w:val="20"/>
        </w:rPr>
        <w:t>- si pas disponible </w:t>
      </w:r>
      <w:r>
        <w:rPr>
          <w:b/>
          <w:color w:val="231F20"/>
          <w:sz w:val="20"/>
          <w:u w:val="thick" w:color="231F20"/>
        </w:rPr>
        <w:t>Perfusion de NaCl</w:t>
      </w:r>
      <w:r>
        <w:rPr>
          <w:b/>
          <w:color w:val="231F20"/>
          <w:spacing w:val="-1"/>
          <w:sz w:val="20"/>
          <w:u w:val="thick" w:color="231F20"/>
        </w:rPr>
        <w:t> </w:t>
      </w:r>
      <w:r>
        <w:rPr>
          <w:b/>
          <w:color w:val="231F20"/>
          <w:sz w:val="20"/>
          <w:u w:val="thick" w:color="231F20"/>
        </w:rPr>
        <w:t>0,9%.</w:t>
      </w:r>
    </w:p>
    <w:p>
      <w:pPr>
        <w:pStyle w:val="BodyText"/>
        <w:tabs>
          <w:tab w:pos="2087" w:val="left" w:leader="none"/>
        </w:tabs>
        <w:spacing w:before="81"/>
        <w:ind w:left="662"/>
      </w:pPr>
      <w:r>
        <w:rPr>
          <w:color w:val="231F20"/>
          <w:u w:val="single" w:color="231F20"/>
        </w:rPr>
        <w:t>Remarques</w:t>
      </w:r>
      <w:r>
        <w:rPr>
          <w:color w:val="231F20"/>
          <w:spacing w:val="3"/>
        </w:rPr>
        <w:t> </w:t>
      </w:r>
      <w:r>
        <w:rPr>
          <w:color w:val="231F20"/>
        </w:rPr>
        <w:t>:</w:t>
        <w:tab/>
        <w:t>Sur la fiche de référence, chaque unité de Ringer ou NaCl donnée doit</w:t>
      </w:r>
      <w:r>
        <w:rPr>
          <w:color w:val="231F20"/>
          <w:spacing w:val="33"/>
        </w:rPr>
        <w:t> </w:t>
      </w:r>
      <w:r>
        <w:rPr>
          <w:color w:val="231F20"/>
        </w:rPr>
        <w:t>figurer.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231F20"/>
        </w:rPr>
        <w:t>Pour les enfants : voir FT Réhydratation pour les doses Ringer et les doses SRO.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4684" w:right="4136"/>
        <w:jc w:val="center"/>
        <w:rPr>
          <w:rFonts w:ascii="Times New Roman"/>
        </w:rPr>
      </w:pPr>
      <w:r>
        <w:rPr>
          <w:rFonts w:ascii="Times New Roman"/>
          <w:color w:val="231F20"/>
        </w:rPr>
        <w:t>61</w:t>
      </w:r>
    </w:p>
    <w:sectPr>
      <w:type w:val="continuous"/>
      <w:pgSz w:w="11900" w:h="16840"/>
      <w:pgMar w:top="1600" w:bottom="280" w:left="16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563" w:hanging="124"/>
      </w:pPr>
      <w:rPr>
        <w:rFonts w:hint="default" w:ascii="Arial" w:hAnsi="Arial" w:eastAsia="Arial" w:cs="Arial"/>
        <w:color w:val="231F20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1325" w:hanging="1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1" w:hanging="1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6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2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8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53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19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85" w:hanging="124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"/>
      <w:lvlJc w:val="left"/>
      <w:pPr>
        <w:ind w:left="923" w:hanging="262"/>
      </w:pPr>
      <w:rPr>
        <w:rFonts w:hint="default" w:ascii="Symbol" w:hAnsi="Symbol" w:eastAsia="Symbol" w:cs="Symbol"/>
        <w:color w:val="231F2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32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6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4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262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39" w:hanging="236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1"/>
        <w:sz w:val="20"/>
        <w:szCs w:val="20"/>
      </w:rPr>
    </w:lvl>
    <w:lvl w:ilvl="1">
      <w:start w:val="0"/>
      <w:numFmt w:val="bullet"/>
      <w:lvlText w:val=""/>
      <w:lvlJc w:val="left"/>
      <w:pPr>
        <w:ind w:left="1180" w:hanging="25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2053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6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3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46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0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93" w:hanging="25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45" w:hanging="124"/>
      </w:pPr>
      <w:rPr>
        <w:rFonts w:hint="default" w:ascii="Arial" w:hAnsi="Arial" w:eastAsia="Arial" w:cs="Arial"/>
        <w:color w:val="231F20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1125" w:hanging="1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1" w:hanging="1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7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3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9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4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6" w:hanging="124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29" w:hanging="124"/>
      </w:pPr>
      <w:rPr>
        <w:rFonts w:hint="default" w:ascii="Arial" w:hAnsi="Arial" w:eastAsia="Arial" w:cs="Arial"/>
        <w:color w:val="231F20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1025" w:hanging="1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1" w:hanging="1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7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3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9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5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1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6" w:hanging="12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9" w:hanging="227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1"/>
        <w:sz w:val="20"/>
        <w:szCs w:val="20"/>
        <w:u w:val="thick" w:color="231F20"/>
      </w:rPr>
    </w:lvl>
    <w:lvl w:ilvl="1">
      <w:start w:val="0"/>
      <w:numFmt w:val="bullet"/>
      <w:lvlText w:val=""/>
      <w:lvlJc w:val="left"/>
      <w:pPr>
        <w:ind w:left="858" w:hanging="259"/>
      </w:pPr>
      <w:rPr>
        <w:rFonts w:hint="default" w:ascii="Symbol" w:hAnsi="Symbol" w:eastAsia="Symbol" w:cs="Symbol"/>
        <w:color w:val="231F20"/>
        <w:w w:val="100"/>
        <w:sz w:val="20"/>
        <w:szCs w:val="20"/>
      </w:rPr>
    </w:lvl>
    <w:lvl w:ilvl="2">
      <w:start w:val="0"/>
      <w:numFmt w:val="bullet"/>
      <w:lvlText w:val="-"/>
      <w:lvlJc w:val="left"/>
      <w:pPr>
        <w:ind w:left="1626" w:hanging="124"/>
      </w:pPr>
      <w:rPr>
        <w:rFonts w:hint="default" w:ascii="Arial" w:hAnsi="Arial" w:eastAsia="Arial" w:cs="Arial"/>
        <w:color w:val="231F20"/>
        <w:w w:val="101"/>
        <w:sz w:val="20"/>
        <w:szCs w:val="20"/>
      </w:rPr>
    </w:lvl>
    <w:lvl w:ilvl="3">
      <w:start w:val="0"/>
      <w:numFmt w:val="bullet"/>
      <w:lvlText w:val="•"/>
      <w:lvlJc w:val="left"/>
      <w:pPr>
        <w:ind w:left="1957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5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0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08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45" w:hanging="124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14"/>
      <w:ind w:left="629" w:hanging="260"/>
      <w:outlineLvl w:val="1"/>
    </w:pPr>
    <w:rPr>
      <w:rFonts w:ascii="Arial" w:hAnsi="Arial" w:eastAsia="Arial" w:cs="Arial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39"/>
      <w:ind w:left="445" w:hanging="125"/>
      <w:outlineLvl w:val="2"/>
    </w:pPr>
    <w:rPr>
      <w:rFonts w:ascii="Arial" w:hAnsi="Arial" w:eastAsia="Arial" w:cs="Arial"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1"/>
      <w:ind w:left="296"/>
      <w:outlineLvl w:val="3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55"/>
      <w:ind w:left="629" w:hanging="12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2020-02-25T15:26:03Z</dcterms:created>
  <dcterms:modified xsi:type="dcterms:W3CDTF">2020-02-25T15:26:03Z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