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 w:after="1"/>
        <w:ind w:left="0"/>
        <w:rPr>
          <w:rFonts w:ascii="Times New Roman"/>
          <w:sz w:val="25"/>
        </w:rPr>
      </w:pPr>
    </w:p>
    <w:p>
      <w:pPr>
        <w:pStyle w:val="BodyText"/>
        <w:ind w:left="294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49.55pt;height:17.850pt;mso-position-horizontal-relative:char;mso-position-vertical-relative:line" type="#_x0000_t202" filled="true" fillcolor="#e6e7e8" stroked="true" strokeweight=".466876pt" strokecolor="#231f20">
            <w10:anchorlock/>
            <v:textbox inset="0,0,0,0">
              <w:txbxContent>
                <w:p>
                  <w:pPr>
                    <w:spacing w:before="41"/>
                    <w:ind w:left="3519" w:right="3519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color w:val="231F20"/>
                      <w:sz w:val="25"/>
                    </w:rPr>
                    <w:t>TUBERCULOSE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40" w:lineRule="auto" w:before="69" w:after="0"/>
        <w:ind w:left="629" w:right="0" w:hanging="227"/>
        <w:jc w:val="left"/>
        <w:rPr>
          <w:b/>
          <w:color w:val="231F20"/>
          <w:sz w:val="20"/>
        </w:rPr>
      </w:pPr>
      <w:r>
        <w:rPr>
          <w:b/>
          <w:color w:val="231F20"/>
          <w:sz w:val="20"/>
          <w:u w:val="thick" w:color="231F20"/>
        </w:rPr>
        <w:t>Définition de cas</w:t>
      </w:r>
      <w:r>
        <w:rPr>
          <w:b/>
          <w:color w:val="231F20"/>
          <w:spacing w:val="-2"/>
          <w:sz w:val="20"/>
          <w:u w:val="thick" w:color="231F20"/>
        </w:rPr>
        <w:t> </w:t>
      </w:r>
      <w:r>
        <w:rPr>
          <w:b/>
          <w:color w:val="231F20"/>
          <w:sz w:val="20"/>
          <w:u w:val="thick" w:color="231F20"/>
        </w:rPr>
        <w:t>suspect</w:t>
      </w:r>
    </w:p>
    <w:p>
      <w:pPr>
        <w:pStyle w:val="BodyText"/>
        <w:spacing w:before="55"/>
      </w:pPr>
      <w:r>
        <w:rPr>
          <w:color w:val="231F20"/>
        </w:rPr>
        <w:t>Toux &gt; 15 jours avec ou sans : hémoptysie, fièvre, amaigrissement, transpiration, anorexie, asthénie</w:t>
      </w:r>
    </w:p>
    <w:p>
      <w:pPr>
        <w:pStyle w:val="Heading1"/>
        <w:numPr>
          <w:ilvl w:val="0"/>
          <w:numId w:val="1"/>
        </w:numPr>
        <w:tabs>
          <w:tab w:pos="605" w:val="left" w:leader="none"/>
        </w:tabs>
        <w:spacing w:line="240" w:lineRule="auto" w:before="150" w:after="0"/>
        <w:ind w:left="604" w:right="0" w:hanging="202"/>
        <w:jc w:val="left"/>
        <w:rPr>
          <w:color w:val="231F20"/>
        </w:rPr>
      </w:pPr>
      <w:r>
        <w:rPr>
          <w:color w:val="231F20"/>
          <w:u w:val="thick" w:color="231F20"/>
        </w:rPr>
        <w:t>Définition de cas tuberculose pulmonaire</w:t>
      </w:r>
      <w:r>
        <w:rPr>
          <w:color w:val="231F20"/>
          <w:spacing w:val="9"/>
          <w:u w:val="thick" w:color="231F20"/>
        </w:rPr>
        <w:t> </w:t>
      </w:r>
      <w:r>
        <w:rPr>
          <w:color w:val="231F20"/>
          <w:u w:val="thick" w:color="231F20"/>
        </w:rPr>
        <w:t>Confirmé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  <w:tab w:pos="733" w:val="left" w:leader="none"/>
        </w:tabs>
        <w:spacing w:line="240" w:lineRule="auto" w:before="5" w:after="0"/>
        <w:ind w:left="732" w:right="211" w:hanging="329"/>
        <w:jc w:val="left"/>
        <w:rPr>
          <w:sz w:val="18"/>
        </w:rPr>
      </w:pPr>
      <w:r>
        <w:rPr>
          <w:color w:val="231F20"/>
          <w:sz w:val="18"/>
        </w:rPr>
        <w:t>BK retrouvés par microscopie directe dans un des trois échantillons d’expectorations donnés par le malade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  <w:tab w:pos="733" w:val="left" w:leader="none"/>
        </w:tabs>
        <w:spacing w:line="240" w:lineRule="auto" w:before="4" w:after="0"/>
        <w:ind w:left="732" w:right="0" w:hanging="330"/>
        <w:jc w:val="left"/>
        <w:rPr>
          <w:sz w:val="18"/>
        </w:rPr>
      </w:pPr>
      <w:r>
        <w:rPr>
          <w:color w:val="231F20"/>
          <w:sz w:val="18"/>
        </w:rPr>
        <w:t>Culture sur milieu de Loewenstein Jansen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positive.</w:t>
      </w:r>
    </w:p>
    <w:p>
      <w:pPr>
        <w:pStyle w:val="Heading1"/>
        <w:numPr>
          <w:ilvl w:val="0"/>
          <w:numId w:val="1"/>
        </w:numPr>
        <w:tabs>
          <w:tab w:pos="605" w:val="left" w:leader="none"/>
        </w:tabs>
        <w:spacing w:line="240" w:lineRule="auto" w:before="111" w:after="0"/>
        <w:ind w:left="604" w:right="0" w:hanging="202"/>
        <w:jc w:val="left"/>
        <w:rPr>
          <w:color w:val="231F20"/>
        </w:rPr>
      </w:pPr>
      <w:r>
        <w:rPr>
          <w:color w:val="231F20"/>
          <w:u w:val="thick" w:color="231F20"/>
        </w:rPr>
        <w:t>Dépistage</w:t>
      </w:r>
    </w:p>
    <w:p>
      <w:pPr>
        <w:pStyle w:val="BodyText"/>
        <w:spacing w:line="247" w:lineRule="auto" w:before="38"/>
        <w:ind w:right="4190"/>
      </w:pPr>
      <w:r>
        <w:rPr>
          <w:color w:val="231F20"/>
        </w:rPr>
        <w:t>Faire trois examens de crachats chez un malade suspect ; Si un examen positif mettre sous traitement antituberculeux</w:t>
      </w:r>
    </w:p>
    <w:p>
      <w:pPr>
        <w:pStyle w:val="BodyText"/>
        <w:spacing w:line="242" w:lineRule="auto"/>
        <w:ind w:right="2623"/>
      </w:pPr>
      <w:r>
        <w:rPr>
          <w:color w:val="231F20"/>
        </w:rPr>
        <w:t>Si trois examens négatifs donner Amoxicilline 500 mg pendant deux semaines Si amélioré arrêter le traitement</w:t>
      </w:r>
    </w:p>
    <w:p>
      <w:pPr>
        <w:pStyle w:val="BodyText"/>
      </w:pPr>
      <w:r>
        <w:rPr>
          <w:color w:val="231F20"/>
        </w:rPr>
        <w:t>Si non améliorer, refaire trois examens de crachats</w:t>
      </w:r>
    </w:p>
    <w:p>
      <w:pPr>
        <w:pStyle w:val="BodyText"/>
        <w:spacing w:line="242" w:lineRule="auto" w:before="1"/>
        <w:ind w:right="4190"/>
      </w:pPr>
      <w:r>
        <w:rPr>
          <w:color w:val="231F20"/>
        </w:rPr>
        <w:t>Si un examen positif mettre sous traitement antituberculeux Si trois examens négatifs, référer</w:t>
      </w:r>
    </w:p>
    <w:p>
      <w:pPr>
        <w:pStyle w:val="Heading1"/>
        <w:numPr>
          <w:ilvl w:val="0"/>
          <w:numId w:val="1"/>
        </w:numPr>
        <w:tabs>
          <w:tab w:pos="605" w:val="left" w:leader="none"/>
        </w:tabs>
        <w:spacing w:line="240" w:lineRule="auto" w:before="111" w:after="0"/>
        <w:ind w:left="604" w:right="0" w:hanging="202"/>
        <w:jc w:val="left"/>
        <w:rPr>
          <w:color w:val="231F20"/>
        </w:rPr>
      </w:pPr>
      <w:r>
        <w:rPr>
          <w:color w:val="231F20"/>
        </w:rPr>
        <w:t>Prise en charge des cas de tuberculose pulmonaire</w:t>
      </w:r>
      <w:r>
        <w:rPr>
          <w:color w:val="231F20"/>
          <w:spacing w:val="12"/>
        </w:rPr>
        <w:t> </w:t>
      </w:r>
      <w:r>
        <w:rPr>
          <w:color w:val="231F20"/>
        </w:rPr>
        <w:t>Confirmé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42" w:lineRule="auto" w:before="115" w:after="0"/>
        <w:ind w:left="730" w:right="211" w:hanging="327"/>
        <w:jc w:val="both"/>
        <w:rPr>
          <w:sz w:val="18"/>
        </w:rPr>
      </w:pPr>
      <w:r>
        <w:rPr>
          <w:b/>
          <w:color w:val="231F20"/>
          <w:sz w:val="18"/>
        </w:rPr>
        <w:t>Traitement Directement Observé (TDO) : </w:t>
      </w:r>
      <w:r>
        <w:rPr>
          <w:color w:val="231F20"/>
          <w:sz w:val="18"/>
        </w:rPr>
        <w:t>les médicaments prescrits pour le traitement d’une tuberculose seront pris en une seule prise, de  préférence le matin à jeun, sous la supervision directe  d’un membre du personnel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soignant.</w:t>
      </w:r>
    </w:p>
    <w:p>
      <w:pPr>
        <w:pStyle w:val="Heading1"/>
        <w:numPr>
          <w:ilvl w:val="0"/>
          <w:numId w:val="2"/>
        </w:numPr>
        <w:tabs>
          <w:tab w:pos="730" w:val="left" w:leader="none"/>
          <w:tab w:pos="731" w:val="left" w:leader="none"/>
        </w:tabs>
        <w:spacing w:line="240" w:lineRule="auto" w:before="110" w:after="0"/>
        <w:ind w:left="730" w:right="0" w:hanging="328"/>
        <w:jc w:val="left"/>
      </w:pPr>
      <w:r>
        <w:rPr>
          <w:color w:val="231F20"/>
        </w:rPr>
        <w:t>Définition des cas thérapeutiques de tuberculose pulmonaire</w:t>
      </w:r>
      <w:r>
        <w:rPr>
          <w:color w:val="231F20"/>
          <w:spacing w:val="6"/>
        </w:rPr>
        <w:t> </w:t>
      </w:r>
      <w:r>
        <w:rPr>
          <w:color w:val="231F20"/>
        </w:rPr>
        <w:t>positif:</w:t>
      </w:r>
    </w:p>
    <w:p>
      <w:pPr>
        <w:pStyle w:val="BodyText"/>
        <w:spacing w:line="242" w:lineRule="auto" w:before="39"/>
      </w:pPr>
      <w:r>
        <w:rPr>
          <w:i/>
          <w:color w:val="231F20"/>
          <w:u w:val="single" w:color="231F20"/>
        </w:rPr>
        <w:t>Nouveau cas</w:t>
      </w:r>
      <w:r>
        <w:rPr>
          <w:i/>
          <w:color w:val="231F20"/>
        </w:rPr>
        <w:t> </w:t>
      </w:r>
      <w:r>
        <w:rPr>
          <w:color w:val="231F20"/>
        </w:rPr>
        <w:t>: patient qui n’a jamais reçu de traitement antituberculeux ou qui a pris des médicaments antituberculeux pendant moins de quatre semaines.</w:t>
      </w:r>
    </w:p>
    <w:p>
      <w:pPr>
        <w:pStyle w:val="BodyText"/>
        <w:spacing w:line="242" w:lineRule="auto" w:before="112"/>
        <w:ind w:right="275" w:hanging="1"/>
      </w:pPr>
      <w:r>
        <w:rPr>
          <w:i/>
          <w:color w:val="231F20"/>
          <w:u w:val="single" w:color="231F20"/>
        </w:rPr>
        <w:t>Echec </w:t>
      </w:r>
      <w:r>
        <w:rPr>
          <w:b/>
          <w:color w:val="231F20"/>
        </w:rPr>
        <w:t>: </w:t>
      </w:r>
      <w:r>
        <w:rPr>
          <w:color w:val="231F20"/>
        </w:rPr>
        <w:t>malade qui Continue de donner des frottis  positifs au 5</w:t>
      </w:r>
      <w:r>
        <w:rPr>
          <w:color w:val="231F20"/>
          <w:vertAlign w:val="superscript"/>
        </w:rPr>
        <w:t>ème</w:t>
      </w:r>
      <w:r>
        <w:rPr>
          <w:color w:val="231F20"/>
          <w:vertAlign w:val="baseline"/>
        </w:rPr>
        <w:t> mois de  traitement, on applique le  schéma de retraitement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(8mois)</w:t>
      </w:r>
    </w:p>
    <w:p>
      <w:pPr>
        <w:pStyle w:val="BodyText"/>
        <w:spacing w:line="242" w:lineRule="auto" w:before="111"/>
        <w:ind w:right="275"/>
      </w:pPr>
      <w:r>
        <w:rPr>
          <w:i/>
          <w:color w:val="231F20"/>
          <w:u w:val="single" w:color="231F20"/>
        </w:rPr>
        <w:t>Rechute </w:t>
      </w:r>
      <w:r>
        <w:rPr>
          <w:b/>
          <w:color w:val="231F20"/>
        </w:rPr>
        <w:t>: </w:t>
      </w:r>
      <w:r>
        <w:rPr>
          <w:color w:val="231F20"/>
        </w:rPr>
        <w:t>malade dont l’examen de crachats est positif après avoir été déclaré « guéri » ou « traitement terminé » à l’issue d’un traitement complet.</w:t>
      </w:r>
    </w:p>
    <w:p>
      <w:pPr>
        <w:pStyle w:val="BodyText"/>
        <w:spacing w:line="244" w:lineRule="auto" w:before="112"/>
        <w:ind w:right="211"/>
        <w:jc w:val="both"/>
      </w:pPr>
      <w:r>
        <w:rPr>
          <w:i/>
          <w:color w:val="231F20"/>
          <w:u w:val="single" w:color="231F20"/>
        </w:rPr>
        <w:t>Retour après abandon</w:t>
      </w:r>
      <w:r>
        <w:rPr>
          <w:i/>
          <w:color w:val="231F20"/>
        </w:rPr>
        <w:t> </w:t>
      </w:r>
      <w:r>
        <w:rPr>
          <w:b/>
          <w:color w:val="231F20"/>
        </w:rPr>
        <w:t>: </w:t>
      </w:r>
      <w:r>
        <w:rPr>
          <w:color w:val="231F20"/>
        </w:rPr>
        <w:t>patient ayant abandonné son traitement pendant plus de 2 mois consécutifs et qui retourne au CDS. IL faut refaire les examens de crachat et si c'est positif, on applique le schéma de retraitement (8 mois).</w:t>
      </w:r>
    </w:p>
    <w:p>
      <w:pPr>
        <w:pStyle w:val="Heading1"/>
        <w:spacing w:before="106"/>
        <w:ind w:left="403" w:firstLine="0"/>
      </w:pPr>
      <w:r>
        <w:rPr>
          <w:color w:val="231F20"/>
        </w:rPr>
        <w:t>Schémas thérapeutiques :</w:t>
      </w:r>
    </w:p>
    <w:p>
      <w:pPr>
        <w:pStyle w:val="BodyText"/>
        <w:spacing w:before="1"/>
        <w:ind w:left="0"/>
        <w:rPr>
          <w:b/>
          <w:sz w:val="10"/>
        </w:rPr>
      </w:pPr>
    </w:p>
    <w:tbl>
      <w:tblPr>
        <w:tblW w:w="0" w:type="auto"/>
        <w:jc w:val="left"/>
        <w:tblInd w:w="3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9"/>
        <w:gridCol w:w="2735"/>
        <w:gridCol w:w="1607"/>
        <w:gridCol w:w="1644"/>
        <w:gridCol w:w="1545"/>
      </w:tblGrid>
      <w:tr>
        <w:trPr>
          <w:trHeight w:val="318" w:hRule="atLeast"/>
        </w:trPr>
        <w:tc>
          <w:tcPr>
            <w:tcW w:w="1249" w:type="dxa"/>
            <w:vMerge w:val="restart"/>
          </w:tcPr>
          <w:p>
            <w:pPr>
              <w:pStyle w:val="TableParagraph"/>
              <w:spacing w:line="244" w:lineRule="auto" w:before="51"/>
              <w:ind w:left="97" w:right="191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Catégories de traitement</w:t>
            </w:r>
          </w:p>
        </w:tc>
        <w:tc>
          <w:tcPr>
            <w:tcW w:w="2735" w:type="dxa"/>
            <w:vMerge w:val="restart"/>
          </w:tcPr>
          <w:p>
            <w:pPr>
              <w:pStyle w:val="TableParagraph"/>
              <w:spacing w:line="247" w:lineRule="auto" w:before="51"/>
              <w:ind w:right="143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Classification du Malade TB</w:t>
            </w:r>
          </w:p>
        </w:tc>
        <w:tc>
          <w:tcPr>
            <w:tcW w:w="3251" w:type="dxa"/>
            <w:gridSpan w:val="2"/>
          </w:tcPr>
          <w:p>
            <w:pPr>
              <w:pStyle w:val="TableParagraph"/>
              <w:spacing w:before="51"/>
              <w:ind w:left="9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Schémas thérapeutiques</w:t>
            </w:r>
          </w:p>
        </w:tc>
        <w:tc>
          <w:tcPr>
            <w:tcW w:w="1545" w:type="dxa"/>
            <w:vMerge w:val="restart"/>
          </w:tcPr>
          <w:p>
            <w:pPr>
              <w:pStyle w:val="TableParagraph"/>
              <w:spacing w:line="247" w:lineRule="auto" w:before="51"/>
              <w:ind w:left="10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Durée totale du traitement</w:t>
            </w:r>
          </w:p>
          <w:p>
            <w:pPr>
              <w:pStyle w:val="TableParagraph"/>
              <w:spacing w:before="50"/>
              <w:ind w:left="36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(en mois)</w:t>
            </w:r>
          </w:p>
        </w:tc>
      </w:tr>
      <w:tr>
        <w:trPr>
          <w:trHeight w:val="530" w:hRule="atLeast"/>
        </w:trPr>
        <w:tc>
          <w:tcPr>
            <w:tcW w:w="1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7" w:type="dxa"/>
          </w:tcPr>
          <w:p>
            <w:pPr>
              <w:pStyle w:val="TableParagraph"/>
              <w:spacing w:before="51"/>
              <w:ind w:left="98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Phase initiale</w:t>
            </w:r>
          </w:p>
        </w:tc>
        <w:tc>
          <w:tcPr>
            <w:tcW w:w="1644" w:type="dxa"/>
          </w:tcPr>
          <w:p>
            <w:pPr>
              <w:pStyle w:val="TableParagraph"/>
              <w:spacing w:line="247" w:lineRule="auto" w:before="51"/>
              <w:ind w:right="405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Phase de Continuation</w:t>
            </w:r>
          </w:p>
        </w:tc>
        <w:tc>
          <w:tcPr>
            <w:tcW w:w="15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8" w:hRule="atLeast"/>
        </w:trPr>
        <w:tc>
          <w:tcPr>
            <w:tcW w:w="1249" w:type="dxa"/>
          </w:tcPr>
          <w:p>
            <w:pPr>
              <w:pStyle w:val="TableParagraph"/>
              <w:ind w:left="97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I.</w:t>
            </w:r>
          </w:p>
        </w:tc>
        <w:tc>
          <w:tcPr>
            <w:tcW w:w="27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b/>
                <w:color w:val="231F20"/>
                <w:sz w:val="18"/>
              </w:rPr>
              <w:t>Nouveau Cas </w:t>
            </w:r>
            <w:r>
              <w:rPr>
                <w:color w:val="231F20"/>
                <w:sz w:val="18"/>
              </w:rPr>
              <w:t>TPM+</w:t>
            </w:r>
          </w:p>
        </w:tc>
        <w:tc>
          <w:tcPr>
            <w:tcW w:w="1607" w:type="dxa"/>
          </w:tcPr>
          <w:p>
            <w:pPr>
              <w:pStyle w:val="TableParagraph"/>
              <w:ind w:left="479"/>
              <w:rPr>
                <w:sz w:val="18"/>
              </w:rPr>
            </w:pPr>
            <w:r>
              <w:rPr>
                <w:color w:val="231F20"/>
                <w:sz w:val="18"/>
              </w:rPr>
              <w:t>2 RHZE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4 RH</w:t>
            </w:r>
          </w:p>
        </w:tc>
        <w:tc>
          <w:tcPr>
            <w:tcW w:w="1545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color w:val="231F20"/>
                <w:w w:val="100"/>
                <w:sz w:val="18"/>
              </w:rPr>
              <w:t>6</w:t>
            </w:r>
          </w:p>
        </w:tc>
      </w:tr>
      <w:tr>
        <w:trPr>
          <w:trHeight w:val="794" w:hRule="atLeast"/>
        </w:trPr>
        <w:tc>
          <w:tcPr>
            <w:tcW w:w="1249" w:type="dxa"/>
          </w:tcPr>
          <w:p>
            <w:pPr>
              <w:pStyle w:val="TableParagraph"/>
              <w:ind w:left="97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II.</w:t>
            </w:r>
          </w:p>
        </w:tc>
        <w:tc>
          <w:tcPr>
            <w:tcW w:w="2735" w:type="dxa"/>
          </w:tcPr>
          <w:p>
            <w:pPr>
              <w:pStyle w:val="TableParagraph"/>
              <w:spacing w:line="244" w:lineRule="auto"/>
              <w:ind w:left="164" w:right="191" w:hanging="1"/>
              <w:rPr>
                <w:sz w:val="18"/>
              </w:rPr>
            </w:pPr>
            <w:r>
              <w:rPr>
                <w:b/>
                <w:color w:val="231F20"/>
                <w:sz w:val="18"/>
              </w:rPr>
              <w:t>Retraitement </w:t>
            </w:r>
            <w:r>
              <w:rPr>
                <w:color w:val="231F20"/>
                <w:sz w:val="18"/>
              </w:rPr>
              <w:t>(rechute, échec, reprise de traitement après abandon)</w:t>
            </w:r>
          </w:p>
        </w:tc>
        <w:tc>
          <w:tcPr>
            <w:tcW w:w="1607" w:type="dxa"/>
          </w:tcPr>
          <w:p>
            <w:pPr>
              <w:pStyle w:val="TableParagraph"/>
              <w:ind w:left="418"/>
              <w:rPr>
                <w:sz w:val="18"/>
              </w:rPr>
            </w:pPr>
            <w:r>
              <w:rPr>
                <w:color w:val="231F20"/>
                <w:sz w:val="18"/>
              </w:rPr>
              <w:t>2 RHZES</w:t>
            </w:r>
          </w:p>
          <w:p>
            <w:pPr>
              <w:pStyle w:val="TableParagraph"/>
              <w:spacing w:before="3"/>
              <w:ind w:left="479"/>
              <w:rPr>
                <w:sz w:val="18"/>
              </w:rPr>
            </w:pPr>
            <w:r>
              <w:rPr>
                <w:color w:val="231F20"/>
                <w:sz w:val="18"/>
              </w:rPr>
              <w:t>1 RHZE</w:t>
            </w:r>
          </w:p>
        </w:tc>
        <w:tc>
          <w:tcPr>
            <w:tcW w:w="16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z w:val="18"/>
              </w:rPr>
              <w:t>5 HRE</w:t>
            </w:r>
          </w:p>
        </w:tc>
        <w:tc>
          <w:tcPr>
            <w:tcW w:w="1545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color w:val="231F20"/>
                <w:w w:val="100"/>
                <w:sz w:val="18"/>
              </w:rPr>
              <w:t>8</w:t>
            </w:r>
          </w:p>
        </w:tc>
      </w:tr>
    </w:tbl>
    <w:p>
      <w:pPr>
        <w:spacing w:line="242" w:lineRule="auto" w:before="106"/>
        <w:ind w:left="403" w:right="212" w:firstLine="0"/>
        <w:jc w:val="both"/>
        <w:rPr>
          <w:i/>
          <w:sz w:val="18"/>
        </w:rPr>
      </w:pPr>
      <w:r>
        <w:rPr>
          <w:color w:val="231F20"/>
          <w:sz w:val="18"/>
        </w:rPr>
        <w:t>[R : rifampicine, H : isoniazide, Z : pyrazinamide, E : éthambutol, S : streptomycine ; </w:t>
      </w:r>
      <w:r>
        <w:rPr>
          <w:i/>
          <w:color w:val="231F20"/>
          <w:sz w:val="18"/>
        </w:rPr>
        <w:t>le chiffre  avant les  </w:t>
      </w:r>
      <w:r>
        <w:rPr>
          <w:i/>
          <w:color w:val="231F20"/>
          <w:sz w:val="18"/>
        </w:rPr>
        <w:t>lettres donne le nombre de</w:t>
      </w:r>
      <w:r>
        <w:rPr>
          <w:i/>
          <w:color w:val="231F20"/>
          <w:spacing w:val="6"/>
          <w:sz w:val="18"/>
        </w:rPr>
        <w:t> </w:t>
      </w:r>
      <w:r>
        <w:rPr>
          <w:i/>
          <w:color w:val="231F20"/>
          <w:sz w:val="18"/>
        </w:rPr>
        <w:t>mois.</w:t>
      </w:r>
    </w:p>
    <w:p>
      <w:pPr>
        <w:pStyle w:val="BodyText"/>
        <w:spacing w:before="114"/>
        <w:ind w:right="214" w:hanging="1"/>
        <w:jc w:val="both"/>
      </w:pPr>
      <w:r>
        <w:rPr>
          <w:i/>
          <w:color w:val="231F20"/>
          <w:u w:val="single" w:color="231F20"/>
        </w:rPr>
        <w:t>Guéri</w:t>
      </w:r>
      <w:r>
        <w:rPr>
          <w:i/>
          <w:color w:val="231F20"/>
        </w:rPr>
        <w:t> </w:t>
      </w:r>
      <w:r>
        <w:rPr>
          <w:color w:val="231F20"/>
        </w:rPr>
        <w:t>:  malade qui a reçu un traitement complet et  qui a des contrôles bactériologiques négatifs au 5</w:t>
      </w:r>
      <w:r>
        <w:rPr>
          <w:color w:val="231F20"/>
          <w:vertAlign w:val="superscript"/>
        </w:rPr>
        <w:t>ème</w:t>
      </w:r>
      <w:r>
        <w:rPr>
          <w:color w:val="231F20"/>
          <w:vertAlign w:val="baseline"/>
        </w:rPr>
        <w:t>  et/ou au 6</w:t>
      </w:r>
      <w:r>
        <w:rPr>
          <w:color w:val="231F20"/>
          <w:vertAlign w:val="superscript"/>
        </w:rPr>
        <w:t>ème</w:t>
      </w:r>
      <w:r>
        <w:rPr>
          <w:color w:val="231F20"/>
          <w:vertAlign w:val="baseline"/>
        </w:rPr>
        <w:t> mois</w:t>
      </w:r>
    </w:p>
    <w:p>
      <w:pPr>
        <w:pStyle w:val="BodyText"/>
        <w:spacing w:line="242" w:lineRule="auto" w:before="113"/>
        <w:ind w:right="210"/>
        <w:jc w:val="both"/>
      </w:pPr>
      <w:r>
        <w:rPr>
          <w:i/>
          <w:color w:val="231F20"/>
          <w:u w:val="single" w:color="231F20"/>
        </w:rPr>
        <w:t>Traitement terminé :</w:t>
      </w:r>
      <w:r>
        <w:rPr>
          <w:i/>
          <w:color w:val="231F20"/>
        </w:rPr>
        <w:t> </w:t>
      </w:r>
      <w:r>
        <w:rPr>
          <w:color w:val="231F20"/>
        </w:rPr>
        <w:t>malade qui a reçu un traitement complet mais n’a pas subi  de  contrôles bactériologiques à la fin du</w:t>
      </w:r>
      <w:r>
        <w:rPr>
          <w:color w:val="231F20"/>
          <w:spacing w:val="8"/>
        </w:rPr>
        <w:t> </w:t>
      </w:r>
      <w:r>
        <w:rPr>
          <w:color w:val="231F20"/>
        </w:rPr>
        <w:t>traitement.</w:t>
      </w:r>
    </w:p>
    <w:p>
      <w:pPr>
        <w:pStyle w:val="ListParagraph"/>
        <w:numPr>
          <w:ilvl w:val="0"/>
          <w:numId w:val="2"/>
        </w:numPr>
        <w:tabs>
          <w:tab w:pos="733" w:val="left" w:leader="none"/>
        </w:tabs>
        <w:spacing w:line="242" w:lineRule="auto" w:before="114" w:after="0"/>
        <w:ind w:left="732" w:right="211" w:hanging="329"/>
        <w:jc w:val="both"/>
        <w:rPr>
          <w:sz w:val="18"/>
        </w:rPr>
      </w:pPr>
      <w:r>
        <w:rPr>
          <w:b/>
          <w:color w:val="231F20"/>
          <w:sz w:val="18"/>
        </w:rPr>
        <w:t>Examens de Contrôle de crachats : </w:t>
      </w:r>
      <w:r>
        <w:rPr>
          <w:color w:val="231F20"/>
          <w:sz w:val="18"/>
        </w:rPr>
        <w:t>au 2</w:t>
      </w:r>
      <w:r>
        <w:rPr>
          <w:color w:val="231F20"/>
          <w:sz w:val="18"/>
          <w:vertAlign w:val="superscript"/>
        </w:rPr>
        <w:t>ème,</w:t>
      </w:r>
      <w:r>
        <w:rPr>
          <w:color w:val="231F20"/>
          <w:sz w:val="18"/>
          <w:vertAlign w:val="baseline"/>
        </w:rPr>
        <w:t> 5</w:t>
      </w:r>
      <w:r>
        <w:rPr>
          <w:color w:val="231F20"/>
          <w:sz w:val="18"/>
          <w:vertAlign w:val="superscript"/>
        </w:rPr>
        <w:t>ème</w:t>
      </w:r>
      <w:r>
        <w:rPr>
          <w:color w:val="231F20"/>
          <w:sz w:val="18"/>
          <w:vertAlign w:val="baseline"/>
        </w:rPr>
        <w:t>, 6</w:t>
      </w:r>
      <w:r>
        <w:rPr>
          <w:color w:val="231F20"/>
          <w:sz w:val="18"/>
          <w:vertAlign w:val="superscript"/>
        </w:rPr>
        <w:t>ème</w:t>
      </w:r>
      <w:r>
        <w:rPr>
          <w:color w:val="231F20"/>
          <w:sz w:val="18"/>
          <w:vertAlign w:val="baseline"/>
        </w:rPr>
        <w:t> mois et en cas de retraitement 8</w:t>
      </w:r>
      <w:r>
        <w:rPr>
          <w:color w:val="231F20"/>
          <w:sz w:val="18"/>
          <w:vertAlign w:val="superscript"/>
        </w:rPr>
        <w:t>ème</w:t>
      </w:r>
      <w:r>
        <w:rPr>
          <w:color w:val="231F20"/>
          <w:sz w:val="18"/>
          <w:vertAlign w:val="baseline"/>
        </w:rPr>
        <w:t> mois. Si l’examen n’est pas possible envoyer l’échantillon de crachat au CDT le plus proche. </w:t>
      </w:r>
      <w:r>
        <w:rPr>
          <w:b/>
          <w:color w:val="231F20"/>
          <w:sz w:val="18"/>
          <w:vertAlign w:val="baseline"/>
        </w:rPr>
        <w:t>Si le C  2  est positif</w:t>
      </w:r>
      <w:r>
        <w:rPr>
          <w:color w:val="231F20"/>
          <w:sz w:val="18"/>
          <w:vertAlign w:val="baseline"/>
        </w:rPr>
        <w:t>, il faut prolonger la phase initiale d’1 mois de traitement ; faire C3 et quel que soit le résultat entamer la 2ème</w:t>
      </w:r>
      <w:r>
        <w:rPr>
          <w:color w:val="231F20"/>
          <w:spacing w:val="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phase.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before="111"/>
        <w:ind w:left="4684" w:right="4496"/>
        <w:jc w:val="center"/>
        <w:rPr>
          <w:rFonts w:ascii="Times New Roman"/>
        </w:rPr>
      </w:pPr>
      <w:r>
        <w:rPr>
          <w:rFonts w:ascii="Times New Roman"/>
          <w:color w:val="231F20"/>
        </w:rPr>
        <w:t>93</w:t>
      </w:r>
    </w:p>
    <w:sectPr>
      <w:type w:val="continuous"/>
      <w:pgSz w:w="11900" w:h="16840"/>
      <w:pgMar w:top="1600" w:bottom="280" w:left="16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32" w:hanging="329"/>
      </w:pPr>
      <w:rPr>
        <w:rFonts w:hint="default" w:ascii="Symbol" w:hAnsi="Symbol" w:eastAsia="Symbol" w:cs="Symbol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60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8" w:hanging="32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9" w:hanging="227"/>
        <w:jc w:val="left"/>
      </w:pPr>
      <w:rPr>
        <w:rFonts w:hint="default"/>
        <w:b/>
        <w:bCs/>
        <w:spacing w:val="-1"/>
        <w:w w:val="101"/>
        <w:u w:val="thick" w:color="231F20"/>
      </w:rPr>
    </w:lvl>
    <w:lvl w:ilvl="1">
      <w:start w:val="0"/>
      <w:numFmt w:val="bullet"/>
      <w:lvlText w:val="•"/>
      <w:lvlJc w:val="left"/>
      <w:pPr>
        <w:ind w:left="1498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6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4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2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0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6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22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403"/>
    </w:pPr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11"/>
      <w:ind w:left="604" w:hanging="202"/>
      <w:outlineLvl w:val="1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111"/>
      <w:ind w:left="604" w:hanging="20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06"/>
      <w:ind w:left="99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dc:title>Guide SPT Vs Final signé 09.06.12.pdf</dc:title>
  <dcterms:created xsi:type="dcterms:W3CDTF">2020-02-25T15:32:11Z</dcterms:created>
  <dcterms:modified xsi:type="dcterms:W3CDTF">2020-02-25T15:32:11Z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Bullzip PDF Printer (10.8.0.2282)</vt:lpwstr>
  </property>
  <property fmtid="{D5CDD505-2E9C-101B-9397-08002B2CF9AE}" pid="4" name="LastSaved">
    <vt:filetime>2020-02-25T00:00:00Z</vt:filetime>
  </property>
</Properties>
</file>