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ind w:left="345"/>
        <w:rPr>
          <w:rFonts w:ascii="Times New Roman"/>
        </w:rPr>
      </w:pPr>
      <w:r>
        <w:rPr>
          <w:rFonts w:ascii="Times New Roman"/>
          <w:position w:val="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44.25pt;height:17.3pt;mso-position-horizontal-relative:char;mso-position-vertical-relative:line" type="#_x0000_t202" filled="true" fillcolor="#e6e7e8" stroked="true" strokeweight=".700313pt" strokecolor="#231f20">
            <w10:anchorlock/>
            <v:textbox inset="0,0,0,0">
              <w:txbxContent>
                <w:p>
                  <w:pPr>
                    <w:spacing w:before="24"/>
                    <w:ind w:left="3505" w:right="3506" w:firstLine="0"/>
                    <w:jc w:val="center"/>
                    <w:rPr>
                      <w:b/>
                      <w:sz w:val="25"/>
                    </w:rPr>
                  </w:pPr>
                  <w:r>
                    <w:rPr>
                      <w:b/>
                      <w:color w:val="231F20"/>
                      <w:sz w:val="25"/>
                    </w:rPr>
                    <w:t>FIEVRE JAUNE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</w:rPr>
      </w:r>
    </w:p>
    <w:p>
      <w:pPr>
        <w:pStyle w:val="BodyText"/>
        <w:spacing w:before="10"/>
        <w:rPr>
          <w:rFonts w:ascii="Times New Roman"/>
          <w:sz w:val="10"/>
        </w:rPr>
      </w:pPr>
    </w:p>
    <w:p>
      <w:pPr>
        <w:pStyle w:val="Heading1"/>
        <w:spacing w:before="69"/>
      </w:pPr>
      <w:r>
        <w:rPr>
          <w:color w:val="231F20"/>
        </w:rPr>
        <w:t>Notification :</w:t>
      </w:r>
    </w:p>
    <w:p>
      <w:pPr>
        <w:pStyle w:val="BodyText"/>
        <w:spacing w:before="10"/>
        <w:rPr>
          <w:b/>
          <w:sz w:val="29"/>
        </w:rPr>
      </w:pPr>
    </w:p>
    <w:p>
      <w:pPr>
        <w:spacing w:before="1"/>
        <w:ind w:left="662" w:right="0" w:firstLine="0"/>
        <w:jc w:val="left"/>
        <w:rPr>
          <w:b/>
          <w:sz w:val="20"/>
        </w:rPr>
      </w:pPr>
      <w:r>
        <w:rPr>
          <w:b/>
          <w:color w:val="231F20"/>
          <w:sz w:val="20"/>
        </w:rPr>
        <w:t>Notifier le cas suspect au district</w:t>
      </w:r>
    </w:p>
    <w:p>
      <w:pPr>
        <w:pStyle w:val="BodyText"/>
        <w:spacing w:before="54"/>
        <w:ind w:left="662" w:right="86"/>
      </w:pPr>
      <w:r>
        <w:rPr>
          <w:color w:val="231F20"/>
        </w:rPr>
        <w:t>Demander un appui pour la confirmation du cas (prélèvement des échantillons de sang et envoi au laboratoire de référence)</w:t>
      </w:r>
    </w:p>
    <w:p>
      <w:pPr>
        <w:pStyle w:val="BodyText"/>
      </w:pPr>
    </w:p>
    <w:p>
      <w:pPr>
        <w:pStyle w:val="BodyText"/>
        <w:spacing w:before="9"/>
      </w:pPr>
      <w:r>
        <w:rPr/>
        <w:pict>
          <v:shape style="position:absolute;margin-left:98.985008pt;margin-top:14.165417pt;width:449.55pt;height:69.45pt;mso-position-horizontal-relative:page;mso-position-vertical-relative:paragraph;z-index:-251657216;mso-wrap-distance-left:0;mso-wrap-distance-right:0" type="#_x0000_t202" filled="false" stroked="true" strokeweight=".466876pt" strokecolor="#231f20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5"/>
                    </w:rPr>
                  </w:pPr>
                </w:p>
                <w:p>
                  <w:pPr>
                    <w:spacing w:before="0"/>
                    <w:ind w:left="99" w:right="0" w:firstLine="0"/>
                    <w:jc w:val="both"/>
                    <w:rPr>
                      <w:b/>
                      <w:sz w:val="20"/>
                    </w:rPr>
                  </w:pPr>
                  <w:r>
                    <w:rPr>
                      <w:b/>
                      <w:color w:val="231F20"/>
                      <w:sz w:val="20"/>
                      <w:u w:val="thick" w:color="231F20"/>
                    </w:rPr>
                    <w:t>Définition des cas suspect</w:t>
                  </w:r>
                </w:p>
                <w:p>
                  <w:pPr>
                    <w:spacing w:line="240" w:lineRule="auto" w:before="111"/>
                    <w:ind w:left="99" w:right="95" w:firstLine="0"/>
                    <w:jc w:val="both"/>
                    <w:rPr>
                      <w:sz w:val="18"/>
                    </w:rPr>
                  </w:pPr>
                  <w:r>
                    <w:rPr>
                      <w:color w:val="231F20"/>
                      <w:sz w:val="20"/>
                    </w:rPr>
                    <w:t>Tout cas de fièvre (&gt;38° C) résistant au traitement antipaludique et présentant un ou plusieurs des signes suivants : </w:t>
                  </w:r>
                  <w:r>
                    <w:rPr>
                      <w:color w:val="231F20"/>
                      <w:sz w:val="18"/>
                    </w:rPr>
                    <w:t>ictère, épistaxis, hématémèse, ecchymoses, gingivorragie, diminution de la  diurèse, décès.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69"/>
      </w:pPr>
      <w:r>
        <w:rPr>
          <w:color w:val="231F20"/>
          <w:u w:val="thick" w:color="231F20"/>
        </w:rPr>
        <w:t>Prise en charge des cas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0" w:after="0"/>
        <w:ind w:left="888" w:right="0" w:hanging="227"/>
        <w:jc w:val="left"/>
        <w:rPr>
          <w:b/>
          <w:sz w:val="20"/>
        </w:rPr>
      </w:pPr>
      <w:r>
        <w:rPr>
          <w:b/>
          <w:color w:val="231F20"/>
          <w:sz w:val="20"/>
        </w:rPr>
        <w:t>Stade d’infection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:</w:t>
      </w:r>
    </w:p>
    <w:p>
      <w:pPr>
        <w:pStyle w:val="BodyText"/>
        <w:tabs>
          <w:tab w:pos="3382" w:val="left" w:leader="none"/>
        </w:tabs>
        <w:spacing w:before="57"/>
        <w:ind w:left="662"/>
      </w:pPr>
      <w:r>
        <w:rPr>
          <w:color w:val="231F20"/>
        </w:rPr>
        <w:t>Fièvre</w:t>
        <w:tab/>
        <w:t>Paracétamol 500 mg 2x</w:t>
      </w:r>
      <w:r>
        <w:rPr>
          <w:color w:val="231F20"/>
          <w:spacing w:val="-10"/>
        </w:rPr>
        <w:t> </w:t>
      </w:r>
      <w:r>
        <w:rPr>
          <w:color w:val="231F20"/>
        </w:rPr>
        <w:t>2cp/j</w:t>
      </w:r>
    </w:p>
    <w:p>
      <w:pPr>
        <w:pStyle w:val="BodyText"/>
        <w:spacing w:before="1"/>
        <w:ind w:right="3182"/>
        <w:jc w:val="right"/>
      </w:pPr>
      <w:r>
        <w:rPr>
          <w:color w:val="231F20"/>
        </w:rPr>
        <w:t>1 cure palu selon FT Paludisme</w:t>
      </w:r>
    </w:p>
    <w:p>
      <w:pPr>
        <w:pStyle w:val="BodyText"/>
        <w:tabs>
          <w:tab w:pos="2720" w:val="left" w:leader="none"/>
        </w:tabs>
        <w:spacing w:before="36"/>
        <w:ind w:right="3128"/>
        <w:jc w:val="right"/>
      </w:pPr>
      <w:r>
        <w:rPr>
          <w:color w:val="231F20"/>
        </w:rPr>
        <w:t>Vomissements</w:t>
        <w:tab/>
        <w:t>Métoclopramide 10mg 1 amp</w:t>
      </w:r>
      <w:r>
        <w:rPr>
          <w:color w:val="231F20"/>
          <w:spacing w:val="7"/>
        </w:rPr>
        <w:t> </w:t>
      </w:r>
      <w:r>
        <w:rPr>
          <w:color w:val="231F20"/>
        </w:rPr>
        <w:t>IM</w:t>
      </w:r>
    </w:p>
    <w:p>
      <w:pPr>
        <w:pStyle w:val="BodyText"/>
        <w:tabs>
          <w:tab w:pos="2720" w:val="left" w:leader="none"/>
        </w:tabs>
        <w:spacing w:before="38"/>
        <w:ind w:right="3161"/>
        <w:jc w:val="right"/>
      </w:pPr>
      <w:r>
        <w:rPr>
          <w:color w:val="231F20"/>
        </w:rPr>
        <w:t>Déshydratation</w:t>
        <w:tab/>
        <w:t>SRO, Solution de Ringer</w:t>
      </w:r>
      <w:r>
        <w:rPr>
          <w:color w:val="231F20"/>
          <w:spacing w:val="6"/>
        </w:rPr>
        <w:t> </w:t>
      </w:r>
      <w:r>
        <w:rPr>
          <w:color w:val="231F20"/>
        </w:rPr>
        <w:t>lactate</w:t>
      </w:r>
    </w:p>
    <w:p>
      <w:pPr>
        <w:pStyle w:val="BodyText"/>
        <w:tabs>
          <w:tab w:pos="3382" w:val="left" w:leader="none"/>
        </w:tabs>
        <w:spacing w:before="39"/>
        <w:ind w:left="662"/>
      </w:pPr>
      <w:r>
        <w:rPr>
          <w:color w:val="231F20"/>
        </w:rPr>
        <w:t>Agitation</w:t>
        <w:tab/>
        <w:t>Diazépam 10mg 2x ½</w:t>
      </w:r>
      <w:r>
        <w:rPr>
          <w:color w:val="231F20"/>
          <w:spacing w:val="-7"/>
        </w:rPr>
        <w:t> </w:t>
      </w:r>
      <w:r>
        <w:rPr>
          <w:color w:val="231F20"/>
        </w:rPr>
        <w:t>cp/j</w:t>
      </w:r>
    </w:p>
    <w:p>
      <w:pPr>
        <w:pStyle w:val="Heading1"/>
        <w:numPr>
          <w:ilvl w:val="0"/>
          <w:numId w:val="1"/>
        </w:numPr>
        <w:tabs>
          <w:tab w:pos="889" w:val="left" w:leader="none"/>
          <w:tab w:pos="3364" w:val="left" w:leader="none"/>
        </w:tabs>
        <w:spacing w:line="240" w:lineRule="auto" w:before="108" w:after="0"/>
        <w:ind w:left="888" w:right="0" w:hanging="227"/>
        <w:jc w:val="left"/>
      </w:pPr>
      <w:r>
        <w:rPr>
          <w:color w:val="231F20"/>
        </w:rPr>
        <w:t>Stade</w:t>
      </w:r>
      <w:r>
        <w:rPr>
          <w:color w:val="231F20"/>
          <w:spacing w:val="-1"/>
        </w:rPr>
        <w:t> </w:t>
      </w:r>
      <w:r>
        <w:rPr>
          <w:color w:val="231F20"/>
        </w:rPr>
        <w:t>d’intoxication</w:t>
      </w:r>
      <w:r>
        <w:rPr>
          <w:color w:val="231F20"/>
          <w:spacing w:val="-3"/>
        </w:rPr>
        <w:t> </w:t>
      </w:r>
      <w:r>
        <w:rPr>
          <w:color w:val="231F20"/>
        </w:rPr>
        <w:t>:</w:t>
        <w:tab/>
        <w:t>Référer</w:t>
      </w:r>
      <w:r>
        <w:rPr>
          <w:color w:val="231F20"/>
          <w:spacing w:val="-2"/>
        </w:rPr>
        <w:t> </w:t>
      </w:r>
      <w:r>
        <w:rPr>
          <w:color w:val="231F20"/>
        </w:rPr>
        <w:t>urgent</w:t>
      </w: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ind w:left="403"/>
      </w:pPr>
      <w:r>
        <w:rPr>
          <w:color w:val="231F20"/>
        </w:rPr>
        <w:t>Aux deux stades : traiter les infections associées et le paludisme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</w:pPr>
      <w:r>
        <w:rPr>
          <w:color w:val="231F20"/>
          <w:u w:val="thick" w:color="231F20"/>
        </w:rPr>
        <w:t>Mesures supplémentaires à prendre</w:t>
      </w:r>
    </w:p>
    <w:p>
      <w:pPr>
        <w:spacing w:before="109"/>
        <w:ind w:left="662" w:right="0" w:firstLine="0"/>
        <w:jc w:val="left"/>
        <w:rPr>
          <w:b/>
          <w:sz w:val="22"/>
        </w:rPr>
      </w:pPr>
      <w:r>
        <w:rPr>
          <w:b/>
          <w:color w:val="231F20"/>
          <w:sz w:val="22"/>
        </w:rPr>
        <w:t>Tout cas suspect ou confirmé doit être protégé des piqûres des moustiques (moustiquaires, grillages)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spacing w:before="110"/>
        <w:ind w:left="4684" w:right="4496" w:firstLine="0"/>
        <w:jc w:val="center"/>
        <w:rPr>
          <w:rFonts w:ascii="Times New Roman"/>
          <w:sz w:val="18"/>
        </w:rPr>
      </w:pPr>
      <w:r>
        <w:rPr>
          <w:rFonts w:ascii="Times New Roman"/>
          <w:color w:val="231F20"/>
          <w:sz w:val="18"/>
        </w:rPr>
        <w:t>62</w:t>
      </w:r>
    </w:p>
    <w:sectPr>
      <w:type w:val="continuous"/>
      <w:pgSz w:w="11900" w:h="16840"/>
      <w:pgMar w:top="1600" w:bottom="280" w:left="16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88" w:hanging="227"/>
        <w:jc w:val="left"/>
      </w:pPr>
      <w:rPr>
        <w:rFonts w:hint="default" w:ascii="Arial" w:hAnsi="Arial" w:eastAsia="Arial" w:cs="Arial"/>
        <w:b/>
        <w:bCs/>
        <w:color w:val="231F20"/>
        <w:spacing w:val="-1"/>
        <w:w w:val="101"/>
        <w:sz w:val="20"/>
        <w:szCs w:val="20"/>
      </w:rPr>
    </w:lvl>
    <w:lvl w:ilvl="1">
      <w:start w:val="0"/>
      <w:numFmt w:val="bullet"/>
      <w:lvlText w:val="•"/>
      <w:lvlJc w:val="left"/>
      <w:pPr>
        <w:ind w:left="3560" w:hanging="2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08" w:hanging="2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57" w:hanging="2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06" w:hanging="2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55" w:hanging="2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04" w:hanging="2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53" w:hanging="2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02" w:hanging="22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403"/>
      <w:outlineLvl w:val="1"/>
    </w:pPr>
    <w:rPr>
      <w:rFonts w:ascii="Arial" w:hAnsi="Arial" w:eastAsia="Arial" w:cs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888" w:hanging="22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dc:title>Guide SPT Vs Final signé 09.06.12.pdf</dc:title>
  <dcterms:created xsi:type="dcterms:W3CDTF">2020-02-25T15:26:24Z</dcterms:created>
  <dcterms:modified xsi:type="dcterms:W3CDTF">2020-02-25T15:26:24Z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2017-11-16T00:00:00Z</vt:filetime>
  </property>
  <property fmtid="{D5CDD505-2E9C-101B-9397-08002B2CF9AE}" pid="3" name="Creator">
    <vt:lpwstr>Bullzip PDF Printer (10.8.0.2282)</vt:lpwstr>
  </property>
  <property fmtid="{D5CDD505-2E9C-101B-9397-08002B2CF9AE}" pid="4" name="LastSaved">
    <vt:filetime>2020-02-25T00:00:00Z</vt:filetime>
  </property>
</Properties>
</file>