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spacing w:before="8"/>
        <w:rPr>
          <w:rFonts w:ascii="Times New Roman"/>
          <w:sz w:val="28"/>
        </w:rPr>
      </w:pPr>
    </w:p>
    <w:p>
      <w:pPr>
        <w:pStyle w:val="BodyText"/>
        <w:ind w:left="345"/>
        <w:rPr>
          <w:rFonts w:ascii="Times New Roman"/>
        </w:rPr>
      </w:pPr>
      <w:r>
        <w:rPr>
          <w:rFonts w:ascii="Times New Roman"/>
          <w:position w:val="0"/>
        </w:rPr>
        <w:pict>
          <v:shapetype id="_x0000_t202" o:spt="202" coordsize="21600,21600" path="m,l,21600r21600,l21600,xe">
            <v:stroke joinstyle="miter"/>
            <v:path gradientshapeok="t" o:connecttype="rect"/>
          </v:shapetype>
          <v:shape style="width:444.25pt;height:17.25pt;mso-position-horizontal-relative:char;mso-position-vertical-relative:line" type="#_x0000_t202" filled="true" fillcolor="#e6e7e8" stroked="true" strokeweight=".700313pt" strokecolor="#231f20">
            <w10:anchorlock/>
            <v:textbox inset="0,0,0,0">
              <w:txbxContent>
                <w:p>
                  <w:pPr>
                    <w:spacing w:before="23"/>
                    <w:ind w:left="2025" w:right="2026" w:firstLine="0"/>
                    <w:jc w:val="center"/>
                    <w:rPr>
                      <w:b/>
                      <w:sz w:val="25"/>
                    </w:rPr>
                  </w:pPr>
                  <w:r>
                    <w:rPr>
                      <w:b/>
                      <w:color w:val="231F20"/>
                      <w:sz w:val="25"/>
                    </w:rPr>
                    <w:t>DIABETE (DEPISTAGE ET PEC AU CDS)</w:t>
                  </w:r>
                </w:p>
              </w:txbxContent>
            </v:textbox>
            <v:fill type="solid"/>
            <v:stroke dashstyle="solid"/>
          </v:shape>
        </w:pict>
      </w:r>
      <w:r>
        <w:rPr>
          <w:rFonts w:ascii="Times New Roman"/>
          <w:position w:val="0"/>
        </w:rPr>
      </w:r>
    </w:p>
    <w:p>
      <w:pPr>
        <w:pStyle w:val="BodyText"/>
        <w:spacing w:before="4"/>
        <w:rPr>
          <w:rFonts w:ascii="Times New Roman"/>
          <w:sz w:val="12"/>
        </w:rPr>
      </w:pPr>
    </w:p>
    <w:p>
      <w:pPr>
        <w:pStyle w:val="Heading1"/>
        <w:spacing w:before="70"/>
        <w:ind w:left="403" w:firstLine="0"/>
        <w:jc w:val="both"/>
      </w:pPr>
      <w:r>
        <w:rPr>
          <w:color w:val="231F20"/>
        </w:rPr>
        <w:t>DIABETE SUCRE</w:t>
      </w:r>
    </w:p>
    <w:p>
      <w:pPr>
        <w:pStyle w:val="BodyText"/>
        <w:rPr>
          <w:b/>
          <w:sz w:val="28"/>
        </w:rPr>
      </w:pPr>
    </w:p>
    <w:p>
      <w:pPr>
        <w:pStyle w:val="ListParagraph"/>
        <w:numPr>
          <w:ilvl w:val="0"/>
          <w:numId w:val="1"/>
        </w:numPr>
        <w:tabs>
          <w:tab w:pos="1050" w:val="left" w:leader="none"/>
        </w:tabs>
        <w:spacing w:line="240" w:lineRule="auto" w:before="1" w:after="0"/>
        <w:ind w:left="1049" w:right="0" w:hanging="318"/>
        <w:jc w:val="left"/>
        <w:rPr>
          <w:b/>
          <w:sz w:val="20"/>
        </w:rPr>
      </w:pPr>
      <w:r>
        <w:rPr>
          <w:b/>
          <w:color w:val="231F20"/>
          <w:sz w:val="20"/>
        </w:rPr>
        <w:t>Définition</w:t>
      </w:r>
    </w:p>
    <w:p>
      <w:pPr>
        <w:pStyle w:val="BodyText"/>
        <w:spacing w:before="10"/>
        <w:rPr>
          <w:b/>
          <w:sz w:val="18"/>
        </w:rPr>
      </w:pPr>
    </w:p>
    <w:p>
      <w:pPr>
        <w:pStyle w:val="BodyText"/>
        <w:spacing w:before="1"/>
        <w:ind w:left="403" w:right="147"/>
        <w:jc w:val="both"/>
      </w:pPr>
      <w:r>
        <w:rPr>
          <w:color w:val="231F20"/>
        </w:rPr>
        <w:t>Le diabète sucré est une maladie chronique, provoquée par un manque partiel ou total d’insuline, caractérisée par une hyperglycémie chronique qui est associée aux complications aigues (acidocétose, hypoglycémie, etc.) et chroniques tardives touchant les yeux, les reins, les pieds, les nerfs, le cerveau, le cœur et les vaisseaux sanguins. Sur le plan biologique, le diabète se manifeste par une glycémie veineuse plasmatique aléatoire :2 11,1 mmol/l ou glycémie veineuse à jeun :2 7</w:t>
      </w:r>
      <w:r>
        <w:rPr>
          <w:color w:val="231F20"/>
          <w:spacing w:val="-5"/>
        </w:rPr>
        <w:t> </w:t>
      </w:r>
      <w:r>
        <w:rPr>
          <w:color w:val="231F20"/>
        </w:rPr>
        <w:t>mmol/l.</w:t>
      </w:r>
    </w:p>
    <w:p>
      <w:pPr>
        <w:pStyle w:val="BodyText"/>
        <w:spacing w:before="62"/>
        <w:ind w:left="403" w:right="150"/>
        <w:jc w:val="both"/>
      </w:pPr>
      <w:r>
        <w:rPr>
          <w:color w:val="231F20"/>
        </w:rPr>
        <w:t>Notons que chez le sujet asymptomatique, une seule glycémie anormale ne suffit pas pour poser un diagnostic de diabète.</w:t>
      </w:r>
    </w:p>
    <w:p>
      <w:pPr>
        <w:pStyle w:val="BodyText"/>
        <w:spacing w:before="9"/>
        <w:rPr>
          <w:sz w:val="29"/>
        </w:rPr>
      </w:pPr>
    </w:p>
    <w:p>
      <w:pPr>
        <w:pStyle w:val="Heading1"/>
        <w:numPr>
          <w:ilvl w:val="0"/>
          <w:numId w:val="1"/>
        </w:numPr>
        <w:tabs>
          <w:tab w:pos="1050" w:val="left" w:leader="none"/>
        </w:tabs>
        <w:spacing w:line="240" w:lineRule="auto" w:before="0" w:after="0"/>
        <w:ind w:left="1049" w:right="0" w:hanging="318"/>
        <w:jc w:val="left"/>
      </w:pPr>
      <w:r>
        <w:rPr>
          <w:color w:val="231F20"/>
        </w:rPr>
        <w:t>Circonstances de</w:t>
      </w:r>
      <w:r>
        <w:rPr>
          <w:color w:val="231F20"/>
          <w:spacing w:val="2"/>
        </w:rPr>
        <w:t> </w:t>
      </w:r>
      <w:r>
        <w:rPr>
          <w:color w:val="231F20"/>
        </w:rPr>
        <w:t>découverte</w:t>
      </w:r>
    </w:p>
    <w:p>
      <w:pPr>
        <w:pStyle w:val="BodyText"/>
        <w:rPr>
          <w:b/>
          <w:sz w:val="26"/>
        </w:rPr>
      </w:pPr>
    </w:p>
    <w:p>
      <w:pPr>
        <w:spacing w:before="0"/>
        <w:ind w:left="1061" w:right="0" w:firstLine="0"/>
        <w:jc w:val="left"/>
        <w:rPr>
          <w:sz w:val="20"/>
        </w:rPr>
      </w:pPr>
      <w:r>
        <w:rPr>
          <w:i/>
          <w:color w:val="231F20"/>
          <w:sz w:val="20"/>
        </w:rPr>
        <w:t>Symptômes </w:t>
      </w:r>
      <w:r>
        <w:rPr>
          <w:color w:val="231F20"/>
          <w:sz w:val="20"/>
        </w:rPr>
        <w:t>:</w:t>
      </w:r>
    </w:p>
    <w:p>
      <w:pPr>
        <w:pStyle w:val="ListParagraph"/>
        <w:numPr>
          <w:ilvl w:val="1"/>
          <w:numId w:val="1"/>
        </w:numPr>
        <w:tabs>
          <w:tab w:pos="1446" w:val="left" w:leader="none"/>
          <w:tab w:pos="1447" w:val="left" w:leader="none"/>
        </w:tabs>
        <w:spacing w:line="240" w:lineRule="auto" w:before="8" w:after="0"/>
        <w:ind w:left="1446" w:right="0" w:hanging="386"/>
        <w:jc w:val="left"/>
        <w:rPr>
          <w:sz w:val="20"/>
        </w:rPr>
      </w:pPr>
      <w:r>
        <w:rPr>
          <w:color w:val="231F20"/>
          <w:sz w:val="20"/>
        </w:rPr>
        <w:t>Une soif intense (polydipsie) qui correspond à la fuite</w:t>
      </w:r>
      <w:r>
        <w:rPr>
          <w:color w:val="231F20"/>
          <w:spacing w:val="-4"/>
          <w:sz w:val="20"/>
        </w:rPr>
        <w:t> </w:t>
      </w:r>
      <w:r>
        <w:rPr>
          <w:color w:val="231F20"/>
          <w:sz w:val="20"/>
        </w:rPr>
        <w:t>d’urine</w:t>
      </w:r>
    </w:p>
    <w:p>
      <w:pPr>
        <w:pStyle w:val="ListParagraph"/>
        <w:numPr>
          <w:ilvl w:val="1"/>
          <w:numId w:val="1"/>
        </w:numPr>
        <w:tabs>
          <w:tab w:pos="1390" w:val="left" w:leader="none"/>
          <w:tab w:pos="1391" w:val="left" w:leader="none"/>
        </w:tabs>
        <w:spacing w:line="240" w:lineRule="auto" w:before="36" w:after="0"/>
        <w:ind w:left="1390" w:right="0" w:hanging="330"/>
        <w:jc w:val="left"/>
        <w:rPr>
          <w:sz w:val="20"/>
        </w:rPr>
      </w:pPr>
      <w:r>
        <w:rPr>
          <w:color w:val="231F20"/>
          <w:sz w:val="20"/>
        </w:rPr>
        <w:t>Une émission d’urine fréquente (polyurie) et importante : 3 à 4 litres par</w:t>
      </w:r>
      <w:r>
        <w:rPr>
          <w:color w:val="231F20"/>
          <w:spacing w:val="-3"/>
          <w:sz w:val="20"/>
        </w:rPr>
        <w:t> </w:t>
      </w:r>
      <w:r>
        <w:rPr>
          <w:color w:val="231F20"/>
          <w:sz w:val="20"/>
        </w:rPr>
        <w:t>jour</w:t>
      </w:r>
    </w:p>
    <w:p>
      <w:pPr>
        <w:pStyle w:val="ListParagraph"/>
        <w:numPr>
          <w:ilvl w:val="1"/>
          <w:numId w:val="1"/>
        </w:numPr>
        <w:tabs>
          <w:tab w:pos="1390" w:val="left" w:leader="none"/>
          <w:tab w:pos="1391" w:val="left" w:leader="none"/>
        </w:tabs>
        <w:spacing w:line="278" w:lineRule="auto" w:before="41" w:after="0"/>
        <w:ind w:left="1390" w:right="646" w:hanging="329"/>
        <w:jc w:val="left"/>
        <w:rPr>
          <w:sz w:val="20"/>
        </w:rPr>
      </w:pPr>
      <w:r>
        <w:rPr>
          <w:color w:val="231F20"/>
          <w:sz w:val="20"/>
        </w:rPr>
        <w:t>Un amaigrissement correspondant à une fonte de la graisse de l’organisme et des muscles</w:t>
      </w:r>
    </w:p>
    <w:p>
      <w:pPr>
        <w:pStyle w:val="ListParagraph"/>
        <w:numPr>
          <w:ilvl w:val="1"/>
          <w:numId w:val="1"/>
        </w:numPr>
        <w:tabs>
          <w:tab w:pos="1390" w:val="left" w:leader="none"/>
          <w:tab w:pos="1391" w:val="left" w:leader="none"/>
        </w:tabs>
        <w:spacing w:line="228" w:lineRule="exact" w:before="0" w:after="0"/>
        <w:ind w:left="1390" w:right="0" w:hanging="330"/>
        <w:jc w:val="left"/>
        <w:rPr>
          <w:sz w:val="20"/>
        </w:rPr>
      </w:pPr>
      <w:r>
        <w:rPr>
          <w:color w:val="231F20"/>
          <w:sz w:val="20"/>
        </w:rPr>
        <w:t>Une asthénie</w:t>
      </w:r>
    </w:p>
    <w:p>
      <w:pPr>
        <w:pStyle w:val="ListParagraph"/>
        <w:numPr>
          <w:ilvl w:val="1"/>
          <w:numId w:val="1"/>
        </w:numPr>
        <w:tabs>
          <w:tab w:pos="1390" w:val="left" w:leader="none"/>
          <w:tab w:pos="1391" w:val="left" w:leader="none"/>
        </w:tabs>
        <w:spacing w:line="240" w:lineRule="auto" w:before="41" w:after="0"/>
        <w:ind w:left="1390" w:right="0" w:hanging="330"/>
        <w:jc w:val="left"/>
        <w:rPr>
          <w:sz w:val="20"/>
        </w:rPr>
      </w:pPr>
      <w:r>
        <w:rPr>
          <w:color w:val="231F20"/>
          <w:sz w:val="20"/>
        </w:rPr>
        <w:t>Des douleurs</w:t>
      </w:r>
      <w:r>
        <w:rPr>
          <w:color w:val="231F20"/>
          <w:spacing w:val="3"/>
          <w:sz w:val="20"/>
        </w:rPr>
        <w:t> </w:t>
      </w:r>
      <w:r>
        <w:rPr>
          <w:color w:val="231F20"/>
          <w:sz w:val="20"/>
        </w:rPr>
        <w:t>abdominales</w:t>
      </w:r>
    </w:p>
    <w:p>
      <w:pPr>
        <w:pStyle w:val="ListParagraph"/>
        <w:numPr>
          <w:ilvl w:val="1"/>
          <w:numId w:val="1"/>
        </w:numPr>
        <w:tabs>
          <w:tab w:pos="1390" w:val="left" w:leader="none"/>
          <w:tab w:pos="1391" w:val="left" w:leader="none"/>
        </w:tabs>
        <w:spacing w:line="240" w:lineRule="auto" w:before="38" w:after="0"/>
        <w:ind w:left="1390" w:right="0" w:hanging="330"/>
        <w:jc w:val="left"/>
        <w:rPr>
          <w:sz w:val="20"/>
        </w:rPr>
      </w:pPr>
      <w:r>
        <w:rPr>
          <w:color w:val="231F20"/>
          <w:sz w:val="20"/>
        </w:rPr>
        <w:t>Parfois, une faim intense, des troubles visuels et des fourmillements des pieds</w:t>
      </w:r>
    </w:p>
    <w:p>
      <w:pPr>
        <w:pStyle w:val="BodyText"/>
        <w:spacing w:before="2"/>
        <w:rPr>
          <w:sz w:val="23"/>
        </w:rPr>
      </w:pPr>
    </w:p>
    <w:p>
      <w:pPr>
        <w:pStyle w:val="Heading1"/>
        <w:numPr>
          <w:ilvl w:val="0"/>
          <w:numId w:val="1"/>
        </w:numPr>
        <w:tabs>
          <w:tab w:pos="1050" w:val="left" w:leader="none"/>
        </w:tabs>
        <w:spacing w:line="240" w:lineRule="auto" w:before="1" w:after="0"/>
        <w:ind w:left="1049" w:right="0" w:hanging="318"/>
        <w:jc w:val="left"/>
      </w:pPr>
      <w:r>
        <w:rPr>
          <w:color w:val="231F20"/>
        </w:rPr>
        <w:t>Prise en charge des</w:t>
      </w:r>
      <w:r>
        <w:rPr>
          <w:color w:val="231F20"/>
          <w:spacing w:val="4"/>
        </w:rPr>
        <w:t> </w:t>
      </w:r>
      <w:r>
        <w:rPr>
          <w:color w:val="231F20"/>
        </w:rPr>
        <w:t>cas</w:t>
      </w:r>
    </w:p>
    <w:p>
      <w:pPr>
        <w:pStyle w:val="BodyText"/>
        <w:rPr>
          <w:b/>
          <w:sz w:val="26"/>
        </w:rPr>
      </w:pPr>
    </w:p>
    <w:p>
      <w:pPr>
        <w:pStyle w:val="ListParagraph"/>
        <w:numPr>
          <w:ilvl w:val="0"/>
          <w:numId w:val="2"/>
        </w:numPr>
        <w:tabs>
          <w:tab w:pos="1391" w:val="left" w:leader="none"/>
        </w:tabs>
        <w:spacing w:line="240" w:lineRule="auto" w:before="0" w:after="0"/>
        <w:ind w:left="1390" w:right="0" w:hanging="330"/>
        <w:jc w:val="left"/>
        <w:rPr>
          <w:color w:val="231F20"/>
          <w:sz w:val="20"/>
        </w:rPr>
      </w:pPr>
      <w:r>
        <w:rPr>
          <w:i/>
          <w:color w:val="231F20"/>
          <w:sz w:val="20"/>
        </w:rPr>
        <w:t>Objectifs des traitements</w:t>
      </w:r>
      <w:r>
        <w:rPr>
          <w:i/>
          <w:color w:val="231F20"/>
          <w:spacing w:val="-1"/>
          <w:sz w:val="20"/>
        </w:rPr>
        <w:t> </w:t>
      </w:r>
      <w:r>
        <w:rPr>
          <w:color w:val="231F20"/>
          <w:sz w:val="20"/>
        </w:rPr>
        <w:t>:</w:t>
      </w:r>
    </w:p>
    <w:p>
      <w:pPr>
        <w:pStyle w:val="ListParagraph"/>
        <w:numPr>
          <w:ilvl w:val="1"/>
          <w:numId w:val="1"/>
        </w:numPr>
        <w:tabs>
          <w:tab w:pos="1390" w:val="left" w:leader="none"/>
          <w:tab w:pos="1391" w:val="left" w:leader="none"/>
        </w:tabs>
        <w:spacing w:line="240" w:lineRule="auto" w:before="41" w:after="0"/>
        <w:ind w:left="1390" w:right="0" w:hanging="330"/>
        <w:jc w:val="left"/>
        <w:rPr>
          <w:sz w:val="20"/>
        </w:rPr>
      </w:pPr>
      <w:r>
        <w:rPr>
          <w:color w:val="231F20"/>
          <w:sz w:val="20"/>
        </w:rPr>
        <w:t>Normalisation de la glycémie (4,11 mmol/l et 6,4</w:t>
      </w:r>
      <w:r>
        <w:rPr>
          <w:color w:val="231F20"/>
          <w:spacing w:val="-5"/>
          <w:sz w:val="20"/>
        </w:rPr>
        <w:t> </w:t>
      </w:r>
      <w:r>
        <w:rPr>
          <w:color w:val="231F20"/>
          <w:sz w:val="20"/>
        </w:rPr>
        <w:t>mmol/l)</w:t>
      </w:r>
    </w:p>
    <w:p>
      <w:pPr>
        <w:pStyle w:val="ListParagraph"/>
        <w:numPr>
          <w:ilvl w:val="1"/>
          <w:numId w:val="1"/>
        </w:numPr>
        <w:tabs>
          <w:tab w:pos="1390" w:val="left" w:leader="none"/>
          <w:tab w:pos="1391" w:val="left" w:leader="none"/>
        </w:tabs>
        <w:spacing w:line="240" w:lineRule="auto" w:before="41" w:after="0"/>
        <w:ind w:left="1390" w:right="0" w:hanging="330"/>
        <w:jc w:val="left"/>
        <w:rPr>
          <w:sz w:val="20"/>
        </w:rPr>
      </w:pPr>
      <w:r>
        <w:rPr>
          <w:color w:val="231F20"/>
          <w:sz w:val="20"/>
        </w:rPr>
        <w:t>Disparition des symptômes en faveur de la</w:t>
      </w:r>
      <w:r>
        <w:rPr>
          <w:color w:val="231F20"/>
          <w:spacing w:val="-5"/>
          <w:sz w:val="20"/>
        </w:rPr>
        <w:t> </w:t>
      </w:r>
      <w:r>
        <w:rPr>
          <w:color w:val="231F20"/>
          <w:sz w:val="20"/>
        </w:rPr>
        <w:t>maladie</w:t>
      </w:r>
    </w:p>
    <w:p>
      <w:pPr>
        <w:pStyle w:val="ListParagraph"/>
        <w:numPr>
          <w:ilvl w:val="1"/>
          <w:numId w:val="1"/>
        </w:numPr>
        <w:tabs>
          <w:tab w:pos="1390" w:val="left" w:leader="none"/>
          <w:tab w:pos="1391" w:val="left" w:leader="none"/>
        </w:tabs>
        <w:spacing w:line="240" w:lineRule="auto" w:before="36" w:after="0"/>
        <w:ind w:left="1390" w:right="0" w:hanging="330"/>
        <w:jc w:val="left"/>
        <w:rPr>
          <w:sz w:val="20"/>
        </w:rPr>
      </w:pPr>
      <w:r>
        <w:rPr>
          <w:color w:val="231F20"/>
          <w:sz w:val="20"/>
        </w:rPr>
        <w:t>Prévention des</w:t>
      </w:r>
      <w:r>
        <w:rPr>
          <w:color w:val="231F20"/>
          <w:spacing w:val="-1"/>
          <w:sz w:val="20"/>
        </w:rPr>
        <w:t> </w:t>
      </w:r>
      <w:r>
        <w:rPr>
          <w:color w:val="231F20"/>
          <w:sz w:val="20"/>
        </w:rPr>
        <w:t>complications</w:t>
      </w:r>
    </w:p>
    <w:p>
      <w:pPr>
        <w:pStyle w:val="ListParagraph"/>
        <w:numPr>
          <w:ilvl w:val="0"/>
          <w:numId w:val="2"/>
        </w:numPr>
        <w:tabs>
          <w:tab w:pos="1391" w:val="left" w:leader="none"/>
        </w:tabs>
        <w:spacing w:line="240" w:lineRule="auto" w:before="36" w:after="0"/>
        <w:ind w:left="1390" w:right="0" w:hanging="330"/>
        <w:jc w:val="left"/>
        <w:rPr>
          <w:color w:val="231F20"/>
          <w:sz w:val="20"/>
        </w:rPr>
      </w:pPr>
      <w:r>
        <w:rPr>
          <w:i/>
          <w:color w:val="231F20"/>
          <w:sz w:val="20"/>
        </w:rPr>
        <w:t>Mesures hygiéno-diététiques</w:t>
      </w:r>
      <w:r>
        <w:rPr>
          <w:i/>
          <w:color w:val="231F20"/>
          <w:spacing w:val="4"/>
          <w:sz w:val="20"/>
        </w:rPr>
        <w:t> </w:t>
      </w:r>
      <w:r>
        <w:rPr>
          <w:color w:val="231F20"/>
          <w:sz w:val="20"/>
        </w:rPr>
        <w:t>:</w:t>
      </w:r>
    </w:p>
    <w:p>
      <w:pPr>
        <w:pStyle w:val="ListParagraph"/>
        <w:numPr>
          <w:ilvl w:val="1"/>
          <w:numId w:val="1"/>
        </w:numPr>
        <w:tabs>
          <w:tab w:pos="1390" w:val="left" w:leader="none"/>
          <w:tab w:pos="1391" w:val="left" w:leader="none"/>
        </w:tabs>
        <w:spacing w:line="240" w:lineRule="auto" w:before="40" w:after="0"/>
        <w:ind w:left="1390" w:right="0" w:hanging="330"/>
        <w:jc w:val="left"/>
        <w:rPr>
          <w:sz w:val="20"/>
        </w:rPr>
      </w:pPr>
      <w:r>
        <w:rPr>
          <w:color w:val="231F20"/>
          <w:sz w:val="20"/>
        </w:rPr>
        <w:t>Respect du régime alimentaire en évitant la prise des sucres</w:t>
      </w:r>
      <w:r>
        <w:rPr>
          <w:color w:val="231F20"/>
          <w:spacing w:val="-1"/>
          <w:sz w:val="20"/>
        </w:rPr>
        <w:t> </w:t>
      </w:r>
      <w:r>
        <w:rPr>
          <w:color w:val="231F20"/>
          <w:sz w:val="20"/>
        </w:rPr>
        <w:t>rapides</w:t>
      </w:r>
    </w:p>
    <w:p>
      <w:pPr>
        <w:pStyle w:val="ListParagraph"/>
        <w:numPr>
          <w:ilvl w:val="1"/>
          <w:numId w:val="1"/>
        </w:numPr>
        <w:tabs>
          <w:tab w:pos="1390" w:val="left" w:leader="none"/>
          <w:tab w:pos="1391" w:val="left" w:leader="none"/>
        </w:tabs>
        <w:spacing w:line="280" w:lineRule="auto" w:before="36" w:after="0"/>
        <w:ind w:left="1390" w:right="918" w:hanging="329"/>
        <w:jc w:val="left"/>
        <w:rPr>
          <w:sz w:val="20"/>
        </w:rPr>
      </w:pPr>
      <w:r>
        <w:rPr>
          <w:color w:val="231F20"/>
          <w:sz w:val="20"/>
        </w:rPr>
        <w:t>Pratique du sport : une marche active d’au moins 30 minutes par jour,3 fois par semaine</w:t>
      </w:r>
    </w:p>
    <w:p>
      <w:pPr>
        <w:pStyle w:val="ListParagraph"/>
        <w:numPr>
          <w:ilvl w:val="0"/>
          <w:numId w:val="2"/>
        </w:numPr>
        <w:tabs>
          <w:tab w:pos="1391" w:val="left" w:leader="none"/>
        </w:tabs>
        <w:spacing w:line="224" w:lineRule="exact" w:before="0" w:after="0"/>
        <w:ind w:left="1390" w:right="0" w:hanging="330"/>
        <w:jc w:val="left"/>
        <w:rPr>
          <w:i/>
          <w:color w:val="231F20"/>
          <w:sz w:val="20"/>
        </w:rPr>
      </w:pPr>
      <w:r>
        <w:rPr>
          <w:i/>
          <w:color w:val="231F20"/>
          <w:sz w:val="20"/>
        </w:rPr>
        <w:t>Traitements</w:t>
      </w:r>
      <w:r>
        <w:rPr>
          <w:i/>
          <w:color w:val="231F20"/>
          <w:spacing w:val="-3"/>
          <w:sz w:val="20"/>
        </w:rPr>
        <w:t> </w:t>
      </w:r>
      <w:r>
        <w:rPr>
          <w:i/>
          <w:color w:val="231F20"/>
          <w:sz w:val="20"/>
        </w:rPr>
        <w:t>médicamenteux</w:t>
      </w:r>
    </w:p>
    <w:p>
      <w:pPr>
        <w:pStyle w:val="ListParagraph"/>
        <w:numPr>
          <w:ilvl w:val="1"/>
          <w:numId w:val="2"/>
        </w:numPr>
        <w:tabs>
          <w:tab w:pos="1698" w:val="left" w:leader="none"/>
          <w:tab w:pos="1699" w:val="left" w:leader="none"/>
        </w:tabs>
        <w:spacing w:line="240" w:lineRule="auto" w:before="39" w:after="0"/>
        <w:ind w:left="1698" w:right="0" w:hanging="356"/>
        <w:jc w:val="left"/>
        <w:rPr>
          <w:sz w:val="20"/>
        </w:rPr>
      </w:pPr>
      <w:r>
        <w:rPr>
          <w:color w:val="231F20"/>
          <w:sz w:val="20"/>
        </w:rPr>
        <w:t>Si : cétonurie positive et/ou glucosurie +++ ou plus (:2 3</w:t>
      </w:r>
      <w:r>
        <w:rPr>
          <w:color w:val="231F20"/>
          <w:spacing w:val="-5"/>
          <w:sz w:val="20"/>
        </w:rPr>
        <w:t> </w:t>
      </w:r>
      <w:r>
        <w:rPr>
          <w:color w:val="231F20"/>
          <w:sz w:val="20"/>
        </w:rPr>
        <w:t>croix)</w:t>
      </w:r>
    </w:p>
    <w:p>
      <w:pPr>
        <w:spacing w:before="33"/>
        <w:ind w:left="1699" w:right="671" w:firstLine="0"/>
        <w:jc w:val="center"/>
        <w:rPr>
          <w:b/>
          <w:sz w:val="20"/>
        </w:rPr>
      </w:pPr>
      <w:r>
        <w:rPr>
          <w:color w:val="231F20"/>
          <w:sz w:val="20"/>
        </w:rPr>
        <w:t>et glycémie &gt; 15 mmol/l, </w:t>
      </w:r>
      <w:r>
        <w:rPr>
          <w:b/>
          <w:color w:val="231F20"/>
          <w:sz w:val="20"/>
        </w:rPr>
        <w:t>il faut référer le ou la malade à l’hôpital de district</w:t>
      </w:r>
    </w:p>
    <w:p>
      <w:pPr>
        <w:pStyle w:val="ListParagraph"/>
        <w:numPr>
          <w:ilvl w:val="1"/>
          <w:numId w:val="2"/>
        </w:numPr>
        <w:tabs>
          <w:tab w:pos="1518" w:val="left" w:leader="none"/>
          <w:tab w:pos="1687" w:val="left" w:leader="none"/>
        </w:tabs>
        <w:spacing w:line="240" w:lineRule="auto" w:before="4" w:after="0"/>
        <w:ind w:left="1686" w:right="0" w:hanging="566"/>
        <w:jc w:val="left"/>
        <w:rPr>
          <w:sz w:val="20"/>
        </w:rPr>
      </w:pPr>
      <w:r>
        <w:rPr>
          <w:color w:val="231F20"/>
          <w:sz w:val="20"/>
        </w:rPr>
        <w:t>Si : cétonurie négative et glucosurie négative ou + ou ++ et glycémie : 13-15</w:t>
      </w:r>
      <w:r>
        <w:rPr>
          <w:color w:val="231F20"/>
          <w:spacing w:val="9"/>
          <w:sz w:val="20"/>
        </w:rPr>
        <w:t> </w:t>
      </w:r>
      <w:r>
        <w:rPr>
          <w:color w:val="231F20"/>
          <w:sz w:val="20"/>
        </w:rPr>
        <w:t>mmol/l,</w:t>
      </w:r>
    </w:p>
    <w:p>
      <w:pPr>
        <w:spacing w:line="276" w:lineRule="auto" w:before="36"/>
        <w:ind w:left="1686" w:right="767" w:firstLine="0"/>
        <w:jc w:val="both"/>
        <w:rPr>
          <w:sz w:val="20"/>
        </w:rPr>
      </w:pPr>
      <w:r>
        <w:rPr>
          <w:b/>
          <w:color w:val="231F20"/>
          <w:sz w:val="20"/>
        </w:rPr>
        <w:t>il faut donner : Glibenclamide 5mg : 3x 1cp/j </w:t>
      </w:r>
      <w:r>
        <w:rPr>
          <w:color w:val="231F20"/>
          <w:sz w:val="20"/>
        </w:rPr>
        <w:t>et contrôler la glycémie dans 3 semaines</w:t>
      </w:r>
    </w:p>
    <w:p>
      <w:pPr>
        <w:pStyle w:val="ListParagraph"/>
        <w:numPr>
          <w:ilvl w:val="1"/>
          <w:numId w:val="2"/>
        </w:numPr>
        <w:tabs>
          <w:tab w:pos="1687" w:val="left" w:leader="none"/>
        </w:tabs>
        <w:spacing w:line="278" w:lineRule="auto" w:before="3" w:after="0"/>
        <w:ind w:left="1686" w:right="168" w:hanging="423"/>
        <w:jc w:val="both"/>
        <w:rPr>
          <w:sz w:val="20"/>
        </w:rPr>
      </w:pPr>
      <w:r>
        <w:rPr>
          <w:color w:val="231F20"/>
          <w:sz w:val="20"/>
        </w:rPr>
        <w:t>Si le résultat est normal, il faut continuer le même traitement. Si échec, il faut référer </w:t>
      </w:r>
      <w:r>
        <w:rPr>
          <w:b/>
          <w:color w:val="231F20"/>
          <w:sz w:val="20"/>
        </w:rPr>
        <w:t>Si : </w:t>
      </w:r>
      <w:r>
        <w:rPr>
          <w:color w:val="231F20"/>
          <w:sz w:val="20"/>
        </w:rPr>
        <w:t>cétonurie négative et glucosurie négative ou +ou++, et glycémie : 8-12 mmol/l, il faut donner : Glibenclamide 5mg : 2x 1cp par jour et contrôler la glycémie</w:t>
      </w:r>
      <w:r>
        <w:rPr>
          <w:color w:val="231F20"/>
          <w:spacing w:val="3"/>
          <w:sz w:val="20"/>
        </w:rPr>
        <w:t> </w:t>
      </w:r>
      <w:r>
        <w:rPr>
          <w:color w:val="231F20"/>
          <w:sz w:val="20"/>
        </w:rPr>
        <w:t>dans</w:t>
      </w:r>
    </w:p>
    <w:p>
      <w:pPr>
        <w:pStyle w:val="BodyText"/>
        <w:spacing w:line="225" w:lineRule="exact"/>
        <w:ind w:left="1686"/>
        <w:jc w:val="both"/>
      </w:pPr>
      <w:r>
        <w:rPr>
          <w:color w:val="231F20"/>
        </w:rPr>
        <w:t>3 semaines.</w:t>
      </w:r>
    </w:p>
    <w:p>
      <w:pPr>
        <w:pStyle w:val="BodyText"/>
        <w:spacing w:before="4"/>
        <w:rPr>
          <w:sz w:val="23"/>
        </w:rPr>
      </w:pPr>
    </w:p>
    <w:p>
      <w:pPr>
        <w:spacing w:before="1"/>
        <w:ind w:left="1686" w:right="0" w:firstLine="0"/>
        <w:jc w:val="both"/>
        <w:rPr>
          <w:sz w:val="20"/>
        </w:rPr>
      </w:pPr>
      <w:r>
        <w:rPr>
          <w:b/>
          <w:color w:val="231F20"/>
          <w:sz w:val="20"/>
        </w:rPr>
        <w:t>Si résultat normal, il faut continuer le traitement. </w:t>
      </w:r>
      <w:r>
        <w:rPr>
          <w:color w:val="231F20"/>
          <w:sz w:val="20"/>
        </w:rPr>
        <w:t>Si échec, il faut référer.</w:t>
      </w:r>
    </w:p>
    <w:p>
      <w:pPr>
        <w:pStyle w:val="BodyText"/>
        <w:spacing w:before="10"/>
        <w:rPr>
          <w:sz w:val="14"/>
        </w:rPr>
      </w:pPr>
    </w:p>
    <w:p>
      <w:pPr>
        <w:spacing w:before="110"/>
        <w:ind w:left="919" w:right="671" w:firstLine="0"/>
        <w:jc w:val="center"/>
        <w:rPr>
          <w:rFonts w:ascii="Times New Roman"/>
          <w:sz w:val="18"/>
        </w:rPr>
      </w:pPr>
      <w:r>
        <w:rPr>
          <w:rFonts w:ascii="Times New Roman"/>
          <w:color w:val="231F20"/>
          <w:sz w:val="18"/>
        </w:rPr>
        <w:t>63</w:t>
      </w:r>
    </w:p>
    <w:sectPr>
      <w:type w:val="continuous"/>
      <w:pgSz w:w="11900" w:h="16840"/>
      <w:pgMar w:top="1600" w:bottom="280" w:left="1680" w:right="8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lowerLetter"/>
      <w:lvlText w:val="%1)"/>
      <w:lvlJc w:val="left"/>
      <w:pPr>
        <w:ind w:left="1390" w:hanging="329"/>
        <w:jc w:val="left"/>
      </w:pPr>
      <w:rPr>
        <w:rFonts w:hint="default"/>
        <w:spacing w:val="-1"/>
        <w:w w:val="101"/>
      </w:rPr>
    </w:lvl>
    <w:lvl w:ilvl="1">
      <w:start w:val="1"/>
      <w:numFmt w:val="lowerRoman"/>
      <w:lvlText w:val="%2."/>
      <w:lvlJc w:val="left"/>
      <w:pPr>
        <w:ind w:left="1698" w:hanging="355"/>
        <w:jc w:val="right"/>
      </w:pPr>
      <w:rPr>
        <w:rFonts w:hint="default" w:ascii="Arial" w:hAnsi="Arial" w:eastAsia="Arial" w:cs="Arial"/>
        <w:b/>
        <w:bCs/>
        <w:color w:val="231F20"/>
        <w:spacing w:val="0"/>
        <w:w w:val="101"/>
        <w:sz w:val="20"/>
        <w:szCs w:val="20"/>
      </w:rPr>
    </w:lvl>
    <w:lvl w:ilvl="2">
      <w:start w:val="0"/>
      <w:numFmt w:val="bullet"/>
      <w:lvlText w:val="•"/>
      <w:lvlJc w:val="left"/>
      <w:pPr>
        <w:ind w:left="1860" w:hanging="355"/>
      </w:pPr>
      <w:rPr>
        <w:rFonts w:hint="default"/>
      </w:rPr>
    </w:lvl>
    <w:lvl w:ilvl="3">
      <w:start w:val="0"/>
      <w:numFmt w:val="bullet"/>
      <w:lvlText w:val="•"/>
      <w:lvlJc w:val="left"/>
      <w:pPr>
        <w:ind w:left="2795" w:hanging="355"/>
      </w:pPr>
      <w:rPr>
        <w:rFonts w:hint="default"/>
      </w:rPr>
    </w:lvl>
    <w:lvl w:ilvl="4">
      <w:start w:val="0"/>
      <w:numFmt w:val="bullet"/>
      <w:lvlText w:val="•"/>
      <w:lvlJc w:val="left"/>
      <w:pPr>
        <w:ind w:left="3730" w:hanging="355"/>
      </w:pPr>
      <w:rPr>
        <w:rFonts w:hint="default"/>
      </w:rPr>
    </w:lvl>
    <w:lvl w:ilvl="5">
      <w:start w:val="0"/>
      <w:numFmt w:val="bullet"/>
      <w:lvlText w:val="•"/>
      <w:lvlJc w:val="left"/>
      <w:pPr>
        <w:ind w:left="4665" w:hanging="355"/>
      </w:pPr>
      <w:rPr>
        <w:rFonts w:hint="default"/>
      </w:rPr>
    </w:lvl>
    <w:lvl w:ilvl="6">
      <w:start w:val="0"/>
      <w:numFmt w:val="bullet"/>
      <w:lvlText w:val="•"/>
      <w:lvlJc w:val="left"/>
      <w:pPr>
        <w:ind w:left="5600" w:hanging="355"/>
      </w:pPr>
      <w:rPr>
        <w:rFonts w:hint="default"/>
      </w:rPr>
    </w:lvl>
    <w:lvl w:ilvl="7">
      <w:start w:val="0"/>
      <w:numFmt w:val="bullet"/>
      <w:lvlText w:val="•"/>
      <w:lvlJc w:val="left"/>
      <w:pPr>
        <w:ind w:left="6535" w:hanging="355"/>
      </w:pPr>
      <w:rPr>
        <w:rFonts w:hint="default"/>
      </w:rPr>
    </w:lvl>
    <w:lvl w:ilvl="8">
      <w:start w:val="0"/>
      <w:numFmt w:val="bullet"/>
      <w:lvlText w:val="•"/>
      <w:lvlJc w:val="left"/>
      <w:pPr>
        <w:ind w:left="7470" w:hanging="355"/>
      </w:pPr>
      <w:rPr>
        <w:rFonts w:hint="default"/>
      </w:rPr>
    </w:lvl>
  </w:abstractNum>
  <w:abstractNum w:abstractNumId="0">
    <w:multiLevelType w:val="hybridMultilevel"/>
    <w:lvl w:ilvl="0">
      <w:start w:val="1"/>
      <w:numFmt w:val="decimal"/>
      <w:lvlText w:val="%1."/>
      <w:lvlJc w:val="left"/>
      <w:pPr>
        <w:ind w:left="1049" w:hanging="318"/>
        <w:jc w:val="left"/>
      </w:pPr>
      <w:rPr>
        <w:rFonts w:hint="default" w:ascii="Arial" w:hAnsi="Arial" w:eastAsia="Arial" w:cs="Arial"/>
        <w:b/>
        <w:bCs/>
        <w:color w:val="231F20"/>
        <w:spacing w:val="-1"/>
        <w:w w:val="101"/>
        <w:sz w:val="20"/>
        <w:szCs w:val="20"/>
      </w:rPr>
    </w:lvl>
    <w:lvl w:ilvl="1">
      <w:start w:val="0"/>
      <w:numFmt w:val="bullet"/>
      <w:lvlText w:val="−"/>
      <w:lvlJc w:val="left"/>
      <w:pPr>
        <w:ind w:left="1390" w:hanging="385"/>
      </w:pPr>
      <w:rPr>
        <w:rFonts w:hint="default" w:ascii="Calibri" w:hAnsi="Calibri" w:eastAsia="Calibri" w:cs="Calibri"/>
        <w:color w:val="231F20"/>
        <w:w w:val="61"/>
        <w:sz w:val="20"/>
        <w:szCs w:val="20"/>
      </w:rPr>
    </w:lvl>
    <w:lvl w:ilvl="2">
      <w:start w:val="0"/>
      <w:numFmt w:val="bullet"/>
      <w:lvlText w:val="•"/>
      <w:lvlJc w:val="left"/>
      <w:pPr>
        <w:ind w:left="2282" w:hanging="385"/>
      </w:pPr>
      <w:rPr>
        <w:rFonts w:hint="default"/>
      </w:rPr>
    </w:lvl>
    <w:lvl w:ilvl="3">
      <w:start w:val="0"/>
      <w:numFmt w:val="bullet"/>
      <w:lvlText w:val="•"/>
      <w:lvlJc w:val="left"/>
      <w:pPr>
        <w:ind w:left="3164" w:hanging="385"/>
      </w:pPr>
      <w:rPr>
        <w:rFonts w:hint="default"/>
      </w:rPr>
    </w:lvl>
    <w:lvl w:ilvl="4">
      <w:start w:val="0"/>
      <w:numFmt w:val="bullet"/>
      <w:lvlText w:val="•"/>
      <w:lvlJc w:val="left"/>
      <w:pPr>
        <w:ind w:left="4046" w:hanging="385"/>
      </w:pPr>
      <w:rPr>
        <w:rFonts w:hint="default"/>
      </w:rPr>
    </w:lvl>
    <w:lvl w:ilvl="5">
      <w:start w:val="0"/>
      <w:numFmt w:val="bullet"/>
      <w:lvlText w:val="•"/>
      <w:lvlJc w:val="left"/>
      <w:pPr>
        <w:ind w:left="4928" w:hanging="385"/>
      </w:pPr>
      <w:rPr>
        <w:rFonts w:hint="default"/>
      </w:rPr>
    </w:lvl>
    <w:lvl w:ilvl="6">
      <w:start w:val="0"/>
      <w:numFmt w:val="bullet"/>
      <w:lvlText w:val="•"/>
      <w:lvlJc w:val="left"/>
      <w:pPr>
        <w:ind w:left="5811" w:hanging="385"/>
      </w:pPr>
      <w:rPr>
        <w:rFonts w:hint="default"/>
      </w:rPr>
    </w:lvl>
    <w:lvl w:ilvl="7">
      <w:start w:val="0"/>
      <w:numFmt w:val="bullet"/>
      <w:lvlText w:val="•"/>
      <w:lvlJc w:val="left"/>
      <w:pPr>
        <w:ind w:left="6693" w:hanging="385"/>
      </w:pPr>
      <w:rPr>
        <w:rFonts w:hint="default"/>
      </w:rPr>
    </w:lvl>
    <w:lvl w:ilvl="8">
      <w:start w:val="0"/>
      <w:numFmt w:val="bullet"/>
      <w:lvlText w:val="•"/>
      <w:lvlJc w:val="left"/>
      <w:pPr>
        <w:ind w:left="7575" w:hanging="385"/>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0"/>
      <w:szCs w:val="20"/>
    </w:rPr>
  </w:style>
  <w:style w:styleId="Heading1" w:type="paragraph">
    <w:name w:val="Heading 1"/>
    <w:basedOn w:val="Normal"/>
    <w:uiPriority w:val="1"/>
    <w:qFormat/>
    <w:pPr>
      <w:spacing w:before="1"/>
      <w:ind w:left="1049" w:hanging="318"/>
      <w:outlineLvl w:val="1"/>
    </w:pPr>
    <w:rPr>
      <w:rFonts w:ascii="Arial" w:hAnsi="Arial" w:eastAsia="Arial" w:cs="Arial"/>
      <w:b/>
      <w:bCs/>
      <w:sz w:val="20"/>
      <w:szCs w:val="20"/>
    </w:rPr>
  </w:style>
  <w:style w:styleId="ListParagraph" w:type="paragraph">
    <w:name w:val="List Paragraph"/>
    <w:basedOn w:val="Normal"/>
    <w:uiPriority w:val="1"/>
    <w:qFormat/>
    <w:pPr>
      <w:ind w:left="1390" w:hanging="33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frank</dc:creator>
  <dc:title>Guide SPT Vs Final signé 09.06.12.pdf</dc:title>
  <dcterms:created xsi:type="dcterms:W3CDTF">2020-02-25T15:26:49Z</dcterms:created>
  <dcterms:modified xsi:type="dcterms:W3CDTF">2020-02-25T15:26:49Z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2017-11-16T00:00:00Z</vt:filetime>
  </property>
  <property fmtid="{D5CDD505-2E9C-101B-9397-08002B2CF9AE}" pid="3" name="Creator">
    <vt:lpwstr>Bullzip PDF Printer (10.8.0.2282)</vt:lpwstr>
  </property>
  <property fmtid="{D5CDD505-2E9C-101B-9397-08002B2CF9AE}" pid="4" name="LastSaved">
    <vt:filetime>2020-02-25T00:00:00Z</vt:filetime>
  </property>
</Properties>
</file>