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1"/>
        </w:rPr>
      </w:pPr>
    </w:p>
    <w:p>
      <w:pPr>
        <w:pStyle w:val="BodyText"/>
        <w:ind w:left="345"/>
        <w:rPr>
          <w:rFonts w:ascii="Times New Roman"/>
        </w:rPr>
      </w:pPr>
      <w:r>
        <w:rPr>
          <w:rFonts w:ascii="Times New Roman"/>
          <w:position w:val="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44.25pt;height:17.3pt;mso-position-horizontal-relative:char;mso-position-vertical-relative:line" type="#_x0000_t202" filled="true" fillcolor="#e6e7e8" stroked="true" strokeweight=".700313pt" strokecolor="#231f20">
            <w10:anchorlock/>
            <v:textbox inset="0,0,0,0">
              <w:txbxContent>
                <w:p>
                  <w:pPr>
                    <w:spacing w:before="24"/>
                    <w:ind w:left="3408" w:right="3408" w:firstLine="0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color w:val="231F20"/>
                      <w:sz w:val="25"/>
                    </w:rPr>
                    <w:t>HYPOGLYCEMIE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  <w:numPr>
          <w:ilvl w:val="0"/>
          <w:numId w:val="1"/>
        </w:numPr>
        <w:tabs>
          <w:tab w:pos="1050" w:val="left" w:leader="none"/>
        </w:tabs>
        <w:spacing w:line="240" w:lineRule="auto" w:before="0" w:after="0"/>
        <w:ind w:left="1049" w:right="0" w:hanging="318"/>
        <w:jc w:val="left"/>
      </w:pPr>
      <w:r>
        <w:rPr>
          <w:color w:val="231F20"/>
        </w:rPr>
        <w:t>Définition</w:t>
      </w: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ind w:left="403" w:right="149"/>
        <w:jc w:val="both"/>
      </w:pPr>
      <w:r>
        <w:rPr>
          <w:color w:val="231F20"/>
        </w:rPr>
        <w:t>L’hypoglycémie est une urgence médicale et doit être traitée rapidement pour éviter la mortalité. Elle survient quand la glycémie baisse jusqu’à un niveau en dessous de 0,50 g/dl(2,5mmol/l).  C’est une complication du traitement par insuline et/ou certains antidiabétiques</w:t>
      </w:r>
      <w:r>
        <w:rPr>
          <w:color w:val="231F20"/>
          <w:spacing w:val="10"/>
        </w:rPr>
        <w:t> </w:t>
      </w:r>
      <w:r>
        <w:rPr>
          <w:color w:val="231F20"/>
        </w:rPr>
        <w:t>oraux.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1050" w:val="left" w:leader="none"/>
        </w:tabs>
        <w:spacing w:line="240" w:lineRule="auto" w:before="0" w:after="0"/>
        <w:ind w:left="1049" w:right="0" w:hanging="318"/>
        <w:jc w:val="left"/>
      </w:pPr>
      <w:r>
        <w:rPr>
          <w:color w:val="231F20"/>
        </w:rPr>
        <w:t>Circonstances de</w:t>
      </w:r>
      <w:r>
        <w:rPr>
          <w:color w:val="231F20"/>
          <w:spacing w:val="4"/>
        </w:rPr>
        <w:t> </w:t>
      </w:r>
      <w:r>
        <w:rPr>
          <w:color w:val="231F20"/>
        </w:rPr>
        <w:t>découverte</w:t>
      </w:r>
    </w:p>
    <w:p>
      <w:pPr>
        <w:pStyle w:val="BodyText"/>
        <w:spacing w:before="9"/>
        <w:rPr>
          <w:b/>
          <w:sz w:val="18"/>
        </w:rPr>
      </w:pPr>
    </w:p>
    <w:p>
      <w:pPr>
        <w:spacing w:before="0"/>
        <w:ind w:left="403" w:right="0" w:firstLine="0"/>
        <w:jc w:val="both"/>
        <w:rPr>
          <w:sz w:val="20"/>
        </w:rPr>
      </w:pPr>
      <w:r>
        <w:rPr>
          <w:i/>
          <w:color w:val="231F20"/>
          <w:sz w:val="20"/>
        </w:rPr>
        <w:t>Symptômes </w:t>
      </w:r>
      <w:r>
        <w:rPr>
          <w:color w:val="231F20"/>
          <w:sz w:val="20"/>
        </w:rPr>
        <w:t>:</w:t>
      </w:r>
    </w:p>
    <w:p>
      <w:pPr>
        <w:pStyle w:val="BodyText"/>
        <w:spacing w:before="59"/>
        <w:ind w:left="403" w:right="149"/>
        <w:jc w:val="both"/>
      </w:pPr>
      <w:r>
        <w:rPr>
          <w:color w:val="231F20"/>
        </w:rPr>
        <w:t>Sensation de faiblesse, somnolence, agitation, sueur, tremblements, faim, anxiété, irritabilité, vertiges.</w:t>
      </w:r>
    </w:p>
    <w:p>
      <w:pPr>
        <w:pStyle w:val="BodyText"/>
        <w:spacing w:before="9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1050" w:val="left" w:leader="none"/>
        </w:tabs>
        <w:spacing w:line="240" w:lineRule="auto" w:before="1" w:after="0"/>
        <w:ind w:left="1049" w:right="0" w:hanging="318"/>
        <w:jc w:val="left"/>
      </w:pPr>
      <w:r>
        <w:rPr>
          <w:color w:val="231F20"/>
        </w:rPr>
        <w:t>Causes fréquentes de</w:t>
      </w:r>
      <w:r>
        <w:rPr>
          <w:color w:val="231F20"/>
          <w:spacing w:val="-3"/>
        </w:rPr>
        <w:t> </w:t>
      </w:r>
      <w:r>
        <w:rPr>
          <w:color w:val="231F20"/>
        </w:rPr>
        <w:t>l’hypoglycémie</w:t>
      </w:r>
    </w:p>
    <w:p>
      <w:pPr>
        <w:pStyle w:val="ListParagraph"/>
        <w:numPr>
          <w:ilvl w:val="1"/>
          <w:numId w:val="1"/>
        </w:numPr>
        <w:tabs>
          <w:tab w:pos="1390" w:val="left" w:leader="none"/>
          <w:tab w:pos="1391" w:val="left" w:leader="none"/>
        </w:tabs>
        <w:spacing w:line="240" w:lineRule="auto" w:before="38" w:after="0"/>
        <w:ind w:left="1390" w:right="0" w:hanging="330"/>
        <w:jc w:val="left"/>
        <w:rPr>
          <w:sz w:val="20"/>
        </w:rPr>
      </w:pPr>
      <w:r>
        <w:rPr>
          <w:color w:val="231F20"/>
          <w:sz w:val="20"/>
        </w:rPr>
        <w:t>Pratique d’exercices physiques plus accentuée que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d’habitude</w:t>
      </w:r>
    </w:p>
    <w:p>
      <w:pPr>
        <w:pStyle w:val="ListParagraph"/>
        <w:numPr>
          <w:ilvl w:val="1"/>
          <w:numId w:val="1"/>
        </w:numPr>
        <w:tabs>
          <w:tab w:pos="1390" w:val="left" w:leader="none"/>
          <w:tab w:pos="1391" w:val="left" w:leader="none"/>
        </w:tabs>
        <w:spacing w:line="240" w:lineRule="auto" w:before="38" w:after="0"/>
        <w:ind w:left="1390" w:right="0" w:hanging="330"/>
        <w:jc w:val="left"/>
        <w:rPr>
          <w:sz w:val="20"/>
        </w:rPr>
      </w:pPr>
      <w:r>
        <w:rPr>
          <w:color w:val="231F20"/>
          <w:sz w:val="20"/>
        </w:rPr>
        <w:t>Repas différé, sauté ou omission d’un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casse-croûte</w:t>
      </w:r>
    </w:p>
    <w:p>
      <w:pPr>
        <w:pStyle w:val="ListParagraph"/>
        <w:numPr>
          <w:ilvl w:val="1"/>
          <w:numId w:val="1"/>
        </w:numPr>
        <w:tabs>
          <w:tab w:pos="1390" w:val="left" w:leader="none"/>
          <w:tab w:pos="1391" w:val="left" w:leader="none"/>
        </w:tabs>
        <w:spacing w:line="240" w:lineRule="auto" w:before="39" w:after="0"/>
        <w:ind w:left="1390" w:right="0" w:hanging="330"/>
        <w:jc w:val="left"/>
        <w:rPr>
          <w:sz w:val="20"/>
        </w:rPr>
      </w:pPr>
      <w:r>
        <w:rPr>
          <w:color w:val="231F20"/>
          <w:sz w:val="20"/>
        </w:rPr>
        <w:t>Mauvaise technique d’injection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d’insuline</w:t>
      </w:r>
    </w:p>
    <w:p>
      <w:pPr>
        <w:pStyle w:val="ListParagraph"/>
        <w:numPr>
          <w:ilvl w:val="1"/>
          <w:numId w:val="1"/>
        </w:numPr>
        <w:tabs>
          <w:tab w:pos="1390" w:val="left" w:leader="none"/>
          <w:tab w:pos="1391" w:val="left" w:leader="none"/>
        </w:tabs>
        <w:spacing w:line="240" w:lineRule="auto" w:before="40" w:after="0"/>
        <w:ind w:left="1390" w:right="0" w:hanging="330"/>
        <w:jc w:val="left"/>
        <w:rPr>
          <w:sz w:val="20"/>
        </w:rPr>
      </w:pPr>
      <w:r>
        <w:rPr>
          <w:color w:val="231F20"/>
          <w:sz w:val="20"/>
        </w:rPr>
        <w:t>Consommation d’hydrate de carbone insuffisante</w:t>
      </w:r>
    </w:p>
    <w:p>
      <w:pPr>
        <w:pStyle w:val="ListParagraph"/>
        <w:numPr>
          <w:ilvl w:val="1"/>
          <w:numId w:val="1"/>
        </w:numPr>
        <w:tabs>
          <w:tab w:pos="1390" w:val="left" w:leader="none"/>
          <w:tab w:pos="1391" w:val="left" w:leader="none"/>
        </w:tabs>
        <w:spacing w:line="240" w:lineRule="auto" w:before="36" w:after="0"/>
        <w:ind w:left="1390" w:right="0" w:hanging="330"/>
        <w:jc w:val="left"/>
        <w:rPr>
          <w:sz w:val="20"/>
        </w:rPr>
      </w:pPr>
      <w:r>
        <w:rPr>
          <w:color w:val="231F20"/>
          <w:sz w:val="20"/>
        </w:rPr>
        <w:t>Consommation importante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d’alcool</w:t>
      </w:r>
    </w:p>
    <w:p>
      <w:pPr>
        <w:pStyle w:val="ListParagraph"/>
        <w:numPr>
          <w:ilvl w:val="1"/>
          <w:numId w:val="1"/>
        </w:numPr>
        <w:tabs>
          <w:tab w:pos="1390" w:val="left" w:leader="none"/>
          <w:tab w:pos="1391" w:val="left" w:leader="none"/>
        </w:tabs>
        <w:spacing w:line="240" w:lineRule="auto" w:before="41" w:after="0"/>
        <w:ind w:left="1390" w:right="0" w:hanging="330"/>
        <w:jc w:val="left"/>
        <w:rPr>
          <w:sz w:val="20"/>
        </w:rPr>
      </w:pPr>
      <w:r>
        <w:rPr>
          <w:color w:val="231F20"/>
          <w:sz w:val="20"/>
        </w:rPr>
        <w:t>Erreur dans les doses de médicaments antidiabétiques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oraux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1050" w:val="left" w:leader="none"/>
        </w:tabs>
        <w:spacing w:line="240" w:lineRule="auto" w:before="1" w:after="0"/>
        <w:ind w:left="1049" w:right="0" w:hanging="318"/>
        <w:jc w:val="left"/>
      </w:pPr>
      <w:r>
        <w:rPr>
          <w:color w:val="231F20"/>
        </w:rPr>
        <w:t>Prise en charge des cas</w:t>
      </w:r>
      <w:r>
        <w:rPr>
          <w:color w:val="231F20"/>
          <w:spacing w:val="4"/>
        </w:rPr>
        <w:t> </w:t>
      </w:r>
      <w:r>
        <w:rPr>
          <w:color w:val="231F20"/>
        </w:rPr>
        <w:t>:</w:t>
      </w:r>
    </w:p>
    <w:p>
      <w:pPr>
        <w:pStyle w:val="ListParagraph"/>
        <w:numPr>
          <w:ilvl w:val="0"/>
          <w:numId w:val="2"/>
        </w:numPr>
        <w:tabs>
          <w:tab w:pos="1391" w:val="left" w:leader="none"/>
        </w:tabs>
        <w:spacing w:line="240" w:lineRule="auto" w:before="148" w:after="0"/>
        <w:ind w:left="1390" w:right="0" w:hanging="330"/>
        <w:jc w:val="both"/>
        <w:rPr>
          <w:sz w:val="20"/>
        </w:rPr>
      </w:pPr>
      <w:r>
        <w:rPr>
          <w:b/>
          <w:color w:val="231F20"/>
          <w:sz w:val="20"/>
        </w:rPr>
        <w:t>Si le patient est conscient </w:t>
      </w:r>
      <w:r>
        <w:rPr>
          <w:color w:val="231F20"/>
          <w:sz w:val="20"/>
        </w:rPr>
        <w:t>:</w:t>
      </w:r>
    </w:p>
    <w:p>
      <w:pPr>
        <w:spacing w:before="36"/>
        <w:ind w:left="1390" w:right="147" w:firstLine="0"/>
        <w:jc w:val="both"/>
        <w:rPr>
          <w:sz w:val="20"/>
        </w:rPr>
      </w:pPr>
      <w:r>
        <w:rPr>
          <w:color w:val="231F20"/>
          <w:sz w:val="20"/>
        </w:rPr>
        <w:t>Donner du glucose par voie orale tout </w:t>
      </w:r>
      <w:r>
        <w:rPr>
          <w:b/>
          <w:color w:val="231F20"/>
          <w:sz w:val="20"/>
        </w:rPr>
        <w:t>en commençant  par les sucres rapides :     </w:t>
      </w:r>
      <w:r>
        <w:rPr>
          <w:color w:val="231F20"/>
          <w:sz w:val="20"/>
        </w:rPr>
        <w:t>jus, limonade, bombons, sucre de cuisine et ajouter </w:t>
      </w:r>
      <w:r>
        <w:rPr>
          <w:b/>
          <w:color w:val="231F20"/>
          <w:sz w:val="20"/>
        </w:rPr>
        <w:t>les sucres lents : </w:t>
      </w:r>
      <w:r>
        <w:rPr>
          <w:color w:val="231F20"/>
          <w:sz w:val="20"/>
        </w:rPr>
        <w:t>pain, pâte, haricot, riz,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etc.</w:t>
      </w:r>
    </w:p>
    <w:p>
      <w:pPr>
        <w:pStyle w:val="ListParagraph"/>
        <w:numPr>
          <w:ilvl w:val="0"/>
          <w:numId w:val="2"/>
        </w:numPr>
        <w:tabs>
          <w:tab w:pos="1391" w:val="left" w:leader="none"/>
        </w:tabs>
        <w:spacing w:line="278" w:lineRule="auto" w:before="3" w:after="0"/>
        <w:ind w:left="1390" w:right="805" w:hanging="329"/>
        <w:jc w:val="left"/>
        <w:rPr>
          <w:sz w:val="20"/>
        </w:rPr>
      </w:pPr>
      <w:r>
        <w:rPr>
          <w:b/>
          <w:color w:val="231F20"/>
          <w:sz w:val="20"/>
        </w:rPr>
        <w:t>Si le patient est inconscient </w:t>
      </w:r>
      <w:r>
        <w:rPr>
          <w:color w:val="231F20"/>
          <w:sz w:val="20"/>
        </w:rPr>
        <w:t>: Perfusion du glucosé à 5%, 10%, 30% jusqu’à la reprise de la conscience ou Glucagon ampoule 1mg en IM si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disponible.</w:t>
      </w:r>
    </w:p>
    <w:p>
      <w:pPr>
        <w:pStyle w:val="ListParagraph"/>
        <w:numPr>
          <w:ilvl w:val="0"/>
          <w:numId w:val="2"/>
        </w:numPr>
        <w:tabs>
          <w:tab w:pos="1391" w:val="left" w:leader="none"/>
        </w:tabs>
        <w:spacing w:line="278" w:lineRule="auto" w:before="0" w:after="0"/>
        <w:ind w:left="1390" w:right="404" w:hanging="329"/>
        <w:jc w:val="left"/>
        <w:rPr>
          <w:sz w:val="20"/>
        </w:rPr>
      </w:pPr>
      <w:r>
        <w:rPr>
          <w:b/>
          <w:color w:val="231F20"/>
          <w:spacing w:val="-3"/>
          <w:sz w:val="20"/>
        </w:rPr>
        <w:t>Au </w:t>
      </w:r>
      <w:r>
        <w:rPr>
          <w:b/>
          <w:color w:val="231F20"/>
          <w:sz w:val="20"/>
        </w:rPr>
        <w:t>réveil, </w:t>
      </w:r>
      <w:r>
        <w:rPr>
          <w:color w:val="231F20"/>
          <w:sz w:val="20"/>
        </w:rPr>
        <w:t>essayer d’identifier et de traiter convenablement la cause d’hypoglycémie, sinon référer le patient.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4684" w:right="4436" w:firstLine="0"/>
        <w:jc w:val="center"/>
        <w:rPr>
          <w:rFonts w:ascii="Times New Roman"/>
          <w:sz w:val="18"/>
        </w:rPr>
      </w:pPr>
      <w:r>
        <w:rPr>
          <w:rFonts w:ascii="Times New Roman"/>
          <w:color w:val="231F20"/>
          <w:sz w:val="18"/>
        </w:rPr>
        <w:t>64</w:t>
      </w:r>
    </w:p>
    <w:sectPr>
      <w:type w:val="continuous"/>
      <w:pgSz w:w="11900" w:h="16840"/>
      <w:pgMar w:top="1600" w:bottom="280" w:left="16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1390" w:hanging="329"/>
        <w:jc w:val="left"/>
      </w:pPr>
      <w:rPr>
        <w:rFonts w:hint="default" w:ascii="Arial" w:hAnsi="Arial" w:eastAsia="Arial" w:cs="Arial"/>
        <w:color w:val="231F20"/>
        <w:spacing w:val="-1"/>
        <w:w w:val="101"/>
        <w:sz w:val="20"/>
        <w:szCs w:val="20"/>
      </w:rPr>
    </w:lvl>
    <w:lvl w:ilvl="1">
      <w:start w:val="0"/>
      <w:numFmt w:val="bullet"/>
      <w:lvlText w:val="•"/>
      <w:lvlJc w:val="left"/>
      <w:pPr>
        <w:ind w:left="219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8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32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49" w:hanging="318"/>
        <w:jc w:val="left"/>
      </w:pPr>
      <w:rPr>
        <w:rFonts w:hint="default" w:ascii="Arial" w:hAnsi="Arial" w:eastAsia="Arial" w:cs="Arial"/>
        <w:b/>
        <w:bCs/>
        <w:color w:val="231F20"/>
        <w:spacing w:val="-1"/>
        <w:w w:val="101"/>
        <w:sz w:val="20"/>
        <w:szCs w:val="20"/>
      </w:rPr>
    </w:lvl>
    <w:lvl w:ilvl="1">
      <w:start w:val="0"/>
      <w:numFmt w:val="bullet"/>
      <w:lvlText w:val="−"/>
      <w:lvlJc w:val="left"/>
      <w:pPr>
        <w:ind w:left="1390" w:hanging="329"/>
      </w:pPr>
      <w:rPr>
        <w:rFonts w:hint="default" w:ascii="Calibri" w:hAnsi="Calibri" w:eastAsia="Calibri" w:cs="Calibri"/>
        <w:color w:val="231F20"/>
        <w:w w:val="61"/>
        <w:sz w:val="20"/>
        <w:szCs w:val="20"/>
      </w:rPr>
    </w:lvl>
    <w:lvl w:ilvl="2">
      <w:start w:val="0"/>
      <w:numFmt w:val="bullet"/>
      <w:lvlText w:val="•"/>
      <w:lvlJc w:val="left"/>
      <w:pPr>
        <w:ind w:left="228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9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75" w:hanging="32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49" w:hanging="318"/>
      <w:outlineLvl w:val="1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1390" w:hanging="33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dc:title>Guide SPT Vs Final signé 09.06.12.pdf</dc:title>
  <dcterms:created xsi:type="dcterms:W3CDTF">2020-02-25T15:27:10Z</dcterms:created>
  <dcterms:modified xsi:type="dcterms:W3CDTF">2020-02-25T15:27:10Z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2017-11-16T00:00:00Z</vt:filetime>
  </property>
  <property fmtid="{D5CDD505-2E9C-101B-9397-08002B2CF9AE}" pid="3" name="Creator">
    <vt:lpwstr>Bullzip PDF Printer (10.8.0.2282)</vt:lpwstr>
  </property>
  <property fmtid="{D5CDD505-2E9C-101B-9397-08002B2CF9AE}" pid="4" name="LastSaved">
    <vt:filetime>2020-02-25T00:00:00Z</vt:filetime>
  </property>
</Properties>
</file>