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</w:rPr>
      </w:pPr>
    </w:p>
    <w:p>
      <w:pPr>
        <w:pStyle w:val="BodyText"/>
        <w:spacing w:before="10"/>
        <w:rPr>
          <w:rFonts w:ascii="Times New Roman"/>
          <w:sz w:val="19"/>
        </w:rPr>
      </w:pPr>
    </w:p>
    <w:p>
      <w:pPr>
        <w:pStyle w:val="BodyText"/>
        <w:ind w:left="345"/>
        <w:rPr>
          <w:rFonts w:ascii="Times New Roman"/>
        </w:rPr>
      </w:pPr>
      <w:r>
        <w:rPr>
          <w:rFonts w:ascii="Times New Roman"/>
          <w:position w:val="0"/>
        </w:rPr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width:444.25pt;height:17.3pt;mso-position-horizontal-relative:char;mso-position-vertical-relative:line" type="#_x0000_t202" filled="true" fillcolor="#e6e7e8" stroked="true" strokeweight=".700313pt" strokecolor="#231f20">
            <w10:anchorlock/>
            <v:textbox inset="0,0,0,0">
              <w:txbxContent>
                <w:p>
                  <w:pPr>
                    <w:spacing w:before="24"/>
                    <w:ind w:left="1588" w:right="1589" w:firstLine="0"/>
                    <w:jc w:val="center"/>
                    <w:rPr>
                      <w:b/>
                      <w:sz w:val="25"/>
                    </w:rPr>
                  </w:pPr>
                  <w:r>
                    <w:rPr>
                      <w:b/>
                      <w:color w:val="231F20"/>
                      <w:sz w:val="25"/>
                    </w:rPr>
                    <w:t>HYPERTENSION (DEPISTAGE ET PEC AU CDS)</w:t>
                  </w:r>
                </w:p>
              </w:txbxContent>
            </v:textbox>
            <v:fill type="solid"/>
            <v:stroke dashstyle="solid"/>
          </v:shape>
        </w:pict>
      </w:r>
      <w:r>
        <w:rPr>
          <w:rFonts w:ascii="Times New Roman"/>
          <w:position w:val="0"/>
        </w:rPr>
      </w:r>
    </w:p>
    <w:p>
      <w:pPr>
        <w:pStyle w:val="BodyText"/>
        <w:spacing w:before="10"/>
        <w:rPr>
          <w:rFonts w:ascii="Times New Roman"/>
          <w:sz w:val="10"/>
        </w:rPr>
      </w:pPr>
    </w:p>
    <w:p>
      <w:pPr>
        <w:pStyle w:val="Heading1"/>
        <w:numPr>
          <w:ilvl w:val="0"/>
          <w:numId w:val="1"/>
        </w:numPr>
        <w:tabs>
          <w:tab w:pos="1391" w:val="left" w:leader="none"/>
        </w:tabs>
        <w:spacing w:line="240" w:lineRule="auto" w:before="69" w:after="0"/>
        <w:ind w:left="1390" w:right="0" w:hanging="330"/>
        <w:jc w:val="left"/>
      </w:pPr>
      <w:r>
        <w:rPr>
          <w:color w:val="231F20"/>
        </w:rPr>
        <w:t>Définition de l’HTA</w:t>
      </w:r>
      <w:r>
        <w:rPr>
          <w:color w:val="231F20"/>
          <w:spacing w:val="-11"/>
        </w:rPr>
        <w:t> </w:t>
      </w:r>
      <w:r>
        <w:rPr>
          <w:color w:val="231F20"/>
        </w:rPr>
        <w:t>:</w:t>
      </w:r>
    </w:p>
    <w:p>
      <w:pPr>
        <w:pStyle w:val="BodyText"/>
        <w:spacing w:before="4"/>
        <w:rPr>
          <w:b/>
        </w:rPr>
      </w:pPr>
    </w:p>
    <w:p>
      <w:pPr>
        <w:pStyle w:val="BodyText"/>
        <w:spacing w:line="278" w:lineRule="auto"/>
        <w:ind w:left="403" w:right="162"/>
      </w:pPr>
      <w:r>
        <w:rPr>
          <w:b/>
          <w:color w:val="231F20"/>
        </w:rPr>
        <w:t>L’HTA essentielle de l’adulte </w:t>
      </w:r>
      <w:r>
        <w:rPr>
          <w:color w:val="231F20"/>
        </w:rPr>
        <w:t>se définit par une pression artérielle (TA) supérieure ou égale à 16 cmHg pour la systolique et un chiffre supérieur ou égale à 9 cmHg pour la diastolique. L’élévation de la TA doit être permanente : mesurée 2 fois au repos lors des consultations. Trois risques majeurs pour le patient : l’accident vasculaire cérébral (AVC), l’insuffisance cardiaque et rénale.</w:t>
      </w:r>
    </w:p>
    <w:p>
      <w:pPr>
        <w:pStyle w:val="BodyText"/>
        <w:spacing w:line="278" w:lineRule="auto"/>
        <w:ind w:left="403" w:right="162" w:hanging="1"/>
      </w:pPr>
      <w:r>
        <w:rPr>
          <w:b/>
          <w:color w:val="231F20"/>
        </w:rPr>
        <w:t>L’HTA gravidique </w:t>
      </w:r>
      <w:r>
        <w:rPr>
          <w:color w:val="231F20"/>
        </w:rPr>
        <w:t>se définit par une TA supérieure ou égale à 14 cmHg pour la systolique ou supérieure ou égale à 9 cmHg pour la diastolique (patiente au repos et en position assise). Elle peut être isolée ou associée à une protéinurie ou des œdèmes en cas de pré-éclampsie. Elle expose au risque d’éclampsie, d’hématome rétro placentaire et un accouchement prématuré.</w:t>
      </w:r>
    </w:p>
    <w:p>
      <w:pPr>
        <w:pStyle w:val="BodyText"/>
        <w:spacing w:before="5"/>
        <w:rPr>
          <w:sz w:val="22"/>
        </w:rPr>
      </w:pPr>
    </w:p>
    <w:p>
      <w:pPr>
        <w:pStyle w:val="Heading1"/>
        <w:numPr>
          <w:ilvl w:val="0"/>
          <w:numId w:val="1"/>
        </w:numPr>
        <w:tabs>
          <w:tab w:pos="1391" w:val="left" w:leader="none"/>
        </w:tabs>
        <w:spacing w:line="240" w:lineRule="auto" w:before="0" w:after="0"/>
        <w:ind w:left="1390" w:right="0" w:hanging="330"/>
        <w:jc w:val="left"/>
        <w:rPr>
          <w:b w:val="0"/>
        </w:rPr>
      </w:pPr>
      <w:r>
        <w:rPr>
          <w:color w:val="231F20"/>
        </w:rPr>
        <w:t>Circonstances de découverte</w:t>
      </w:r>
      <w:r>
        <w:rPr>
          <w:color w:val="231F20"/>
          <w:spacing w:val="2"/>
        </w:rPr>
        <w:t> </w:t>
      </w:r>
      <w:r>
        <w:rPr>
          <w:b w:val="0"/>
          <w:color w:val="231F20"/>
        </w:rPr>
        <w:t>:</w:t>
      </w:r>
    </w:p>
    <w:p>
      <w:pPr>
        <w:pStyle w:val="BodyText"/>
        <w:spacing w:before="1"/>
        <w:rPr>
          <w:sz w:val="14"/>
        </w:rPr>
      </w:pPr>
      <w:r>
        <w:rPr/>
        <w:pict>
          <v:shape style="position:absolute;margin-left:115.433884pt;margin-top:10.306317pt;width:429.5pt;height:70.9pt;mso-position-horizontal-relative:page;mso-position-vertical-relative:paragraph;z-index:-251657216;mso-wrap-distance-left:0;mso-wrap-distance-right:0" type="#_x0000_t202" filled="false" stroked="true" strokeweight=".467344pt" strokecolor="#231f20">
            <v:textbox inset="0,0,0,0">
              <w:txbxContent>
                <w:p>
                  <w:pPr>
                    <w:pStyle w:val="BodyText"/>
                    <w:numPr>
                      <w:ilvl w:val="0"/>
                      <w:numId w:val="2"/>
                    </w:numPr>
                    <w:tabs>
                      <w:tab w:pos="416" w:val="left" w:leader="none"/>
                      <w:tab w:pos="417" w:val="left" w:leader="none"/>
                    </w:tabs>
                    <w:spacing w:line="273" w:lineRule="auto" w:before="17" w:after="0"/>
                    <w:ind w:left="428" w:right="123" w:hanging="329"/>
                    <w:jc w:val="left"/>
                  </w:pPr>
                  <w:r>
                    <w:rPr>
                      <w:color w:val="231F20"/>
                    </w:rPr>
                    <w:t>Certains symptômes orientent vers l’HTA : céphalées, vertiges, bourdonnement d’oreilles, épistaxis, palpitations cardiaques, confusion, mais ne sont pas</w:t>
                  </w:r>
                  <w:r>
                    <w:rPr>
                      <w:color w:val="231F20"/>
                      <w:spacing w:val="2"/>
                    </w:rPr>
                    <w:t> </w:t>
                  </w:r>
                  <w:r>
                    <w:rPr>
                      <w:color w:val="231F20"/>
                    </w:rPr>
                    <w:t>spécifiques.</w:t>
                  </w:r>
                </w:p>
                <w:p>
                  <w:pPr>
                    <w:numPr>
                      <w:ilvl w:val="0"/>
                      <w:numId w:val="2"/>
                    </w:numPr>
                    <w:tabs>
                      <w:tab w:pos="416" w:val="left" w:leader="none"/>
                      <w:tab w:pos="417" w:val="left" w:leader="none"/>
                    </w:tabs>
                    <w:spacing w:before="2"/>
                    <w:ind w:left="416" w:right="0" w:hanging="318"/>
                    <w:jc w:val="left"/>
                    <w:rPr>
                      <w:i/>
                      <w:sz w:val="20"/>
                    </w:rPr>
                  </w:pPr>
                  <w:r>
                    <w:rPr>
                      <w:b/>
                      <w:color w:val="231F20"/>
                      <w:sz w:val="20"/>
                    </w:rPr>
                    <w:t>Le plus souvent</w:t>
                  </w:r>
                  <w:r>
                    <w:rPr>
                      <w:color w:val="231F20"/>
                      <w:sz w:val="20"/>
                    </w:rPr>
                    <w:t>, elle est découverte à l’occasion </w:t>
                  </w:r>
                  <w:r>
                    <w:rPr>
                      <w:i/>
                      <w:color w:val="231F20"/>
                      <w:sz w:val="20"/>
                      <w:u w:val="single" w:color="231F20"/>
                    </w:rPr>
                    <w:t>d’un examen</w:t>
                  </w:r>
                  <w:r>
                    <w:rPr>
                      <w:i/>
                      <w:color w:val="231F20"/>
                      <w:spacing w:val="2"/>
                      <w:sz w:val="20"/>
                      <w:u w:val="single" w:color="231F20"/>
                    </w:rPr>
                    <w:t> </w:t>
                  </w:r>
                  <w:r>
                    <w:rPr>
                      <w:i/>
                      <w:color w:val="231F20"/>
                      <w:sz w:val="20"/>
                      <w:u w:val="single" w:color="231F20"/>
                    </w:rPr>
                    <w:t>systématique</w:t>
                  </w:r>
                </w:p>
                <w:p>
                  <w:pPr>
                    <w:numPr>
                      <w:ilvl w:val="0"/>
                      <w:numId w:val="2"/>
                    </w:numPr>
                    <w:tabs>
                      <w:tab w:pos="416" w:val="left" w:leader="none"/>
                      <w:tab w:pos="417" w:val="left" w:leader="none"/>
                    </w:tabs>
                    <w:spacing w:line="276" w:lineRule="auto" w:before="35"/>
                    <w:ind w:left="428" w:right="56" w:hanging="329"/>
                    <w:jc w:val="left"/>
                    <w:rPr>
                      <w:sz w:val="20"/>
                    </w:rPr>
                  </w:pPr>
                  <w:r>
                    <w:rPr>
                      <w:b/>
                      <w:color w:val="231F20"/>
                      <w:sz w:val="20"/>
                    </w:rPr>
                    <w:t>Parfois </w:t>
                  </w:r>
                  <w:r>
                    <w:rPr>
                      <w:color w:val="231F20"/>
                      <w:sz w:val="20"/>
                    </w:rPr>
                    <w:t>révélée par </w:t>
                  </w:r>
                  <w:r>
                    <w:rPr>
                      <w:i/>
                      <w:color w:val="231F20"/>
                      <w:sz w:val="20"/>
                      <w:u w:val="single" w:color="231F20"/>
                    </w:rPr>
                    <w:t>une complication majeure</w:t>
                  </w:r>
                  <w:r>
                    <w:rPr>
                      <w:i/>
                      <w:color w:val="231F20"/>
                      <w:sz w:val="20"/>
                    </w:rPr>
                    <w:t> </w:t>
                  </w:r>
                  <w:r>
                    <w:rPr>
                      <w:color w:val="231F20"/>
                      <w:sz w:val="20"/>
                    </w:rPr>
                    <w:t>: insuffisance cardiaque, insuffisance rénale, AVC.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3"/>
        <w:rPr>
          <w:sz w:val="13"/>
        </w:rPr>
      </w:pPr>
    </w:p>
    <w:p>
      <w:pPr>
        <w:pStyle w:val="ListParagraph"/>
        <w:numPr>
          <w:ilvl w:val="0"/>
          <w:numId w:val="1"/>
        </w:numPr>
        <w:tabs>
          <w:tab w:pos="1391" w:val="left" w:leader="none"/>
        </w:tabs>
        <w:spacing w:line="240" w:lineRule="auto" w:before="69" w:after="0"/>
        <w:ind w:left="1390" w:right="0" w:hanging="330"/>
        <w:jc w:val="left"/>
        <w:rPr>
          <w:b/>
          <w:sz w:val="20"/>
        </w:rPr>
      </w:pPr>
      <w:r>
        <w:rPr>
          <w:b/>
          <w:color w:val="231F20"/>
          <w:sz w:val="20"/>
        </w:rPr>
        <w:t>Prise en charge des</w:t>
      </w:r>
      <w:r>
        <w:rPr>
          <w:b/>
          <w:color w:val="231F20"/>
          <w:spacing w:val="2"/>
          <w:sz w:val="20"/>
        </w:rPr>
        <w:t> </w:t>
      </w:r>
      <w:r>
        <w:rPr>
          <w:b/>
          <w:color w:val="231F20"/>
          <w:sz w:val="20"/>
        </w:rPr>
        <w:t>cas</w:t>
      </w:r>
    </w:p>
    <w:p>
      <w:pPr>
        <w:pStyle w:val="BodyText"/>
        <w:rPr>
          <w:b/>
          <w:sz w:val="26"/>
        </w:rPr>
      </w:pPr>
    </w:p>
    <w:p>
      <w:pPr>
        <w:pStyle w:val="ListParagraph"/>
        <w:numPr>
          <w:ilvl w:val="0"/>
          <w:numId w:val="3"/>
        </w:numPr>
        <w:tabs>
          <w:tab w:pos="1382" w:val="left" w:leader="none"/>
        </w:tabs>
        <w:spacing w:line="240" w:lineRule="auto" w:before="1" w:after="0"/>
        <w:ind w:left="1381" w:right="0" w:hanging="330"/>
        <w:jc w:val="left"/>
        <w:rPr>
          <w:b/>
          <w:color w:val="231F20"/>
          <w:sz w:val="20"/>
        </w:rPr>
      </w:pPr>
      <w:r>
        <w:rPr>
          <w:b/>
          <w:color w:val="231F20"/>
          <w:sz w:val="20"/>
        </w:rPr>
        <w:t>Objectifs du traitement de</w:t>
      </w:r>
      <w:r>
        <w:rPr>
          <w:b/>
          <w:color w:val="231F20"/>
          <w:spacing w:val="-2"/>
          <w:sz w:val="20"/>
        </w:rPr>
        <w:t> </w:t>
      </w:r>
      <w:r>
        <w:rPr>
          <w:b/>
          <w:color w:val="231F20"/>
          <w:sz w:val="20"/>
        </w:rPr>
        <w:t>l’HTA</w:t>
      </w:r>
    </w:p>
    <w:p>
      <w:pPr>
        <w:pStyle w:val="ListParagraph"/>
        <w:numPr>
          <w:ilvl w:val="1"/>
          <w:numId w:val="3"/>
        </w:numPr>
        <w:tabs>
          <w:tab w:pos="1698" w:val="left" w:leader="none"/>
          <w:tab w:pos="1699" w:val="left" w:leader="none"/>
        </w:tabs>
        <w:spacing w:line="266" w:lineRule="auto" w:before="35" w:after="0"/>
        <w:ind w:left="1719" w:right="641" w:hanging="329"/>
        <w:jc w:val="left"/>
        <w:rPr>
          <w:sz w:val="20"/>
        </w:rPr>
      </w:pPr>
      <w:r>
        <w:rPr>
          <w:color w:val="231F20"/>
          <w:sz w:val="20"/>
        </w:rPr>
        <w:t>Ramener la TA à la normale, c’est-à- dire en dessous de 14 cmHg de pression systolique et 9 cmHg de</w:t>
      </w:r>
      <w:r>
        <w:rPr>
          <w:color w:val="231F20"/>
          <w:spacing w:val="-2"/>
          <w:sz w:val="20"/>
        </w:rPr>
        <w:t> </w:t>
      </w:r>
      <w:r>
        <w:rPr>
          <w:color w:val="231F20"/>
          <w:sz w:val="20"/>
        </w:rPr>
        <w:t>diastolique</w:t>
      </w:r>
    </w:p>
    <w:p>
      <w:pPr>
        <w:pStyle w:val="ListParagraph"/>
        <w:numPr>
          <w:ilvl w:val="1"/>
          <w:numId w:val="3"/>
        </w:numPr>
        <w:tabs>
          <w:tab w:pos="1698" w:val="left" w:leader="none"/>
          <w:tab w:pos="1699" w:val="left" w:leader="none"/>
        </w:tabs>
        <w:spacing w:line="240" w:lineRule="auto" w:before="8" w:after="0"/>
        <w:ind w:left="1698" w:right="0" w:hanging="309"/>
        <w:jc w:val="left"/>
        <w:rPr>
          <w:sz w:val="20"/>
        </w:rPr>
      </w:pPr>
      <w:r>
        <w:rPr>
          <w:color w:val="231F20"/>
          <w:sz w:val="20"/>
        </w:rPr>
        <w:t>En cas de diabète associé, la TA &lt; 13/8 cmHg et si protéinurie </w:t>
      </w:r>
      <w:r>
        <w:rPr>
          <w:color w:val="231F20"/>
          <w:spacing w:val="-3"/>
          <w:sz w:val="20"/>
        </w:rPr>
        <w:t>TA </w:t>
      </w:r>
      <w:r>
        <w:rPr>
          <w:color w:val="231F20"/>
          <w:sz w:val="20"/>
        </w:rPr>
        <w:t>&lt;12,5 / 7,5</w:t>
      </w:r>
      <w:r>
        <w:rPr>
          <w:color w:val="231F20"/>
          <w:spacing w:val="14"/>
          <w:sz w:val="20"/>
        </w:rPr>
        <w:t> </w:t>
      </w:r>
      <w:r>
        <w:rPr>
          <w:color w:val="231F20"/>
          <w:sz w:val="20"/>
        </w:rPr>
        <w:t>cmHg</w:t>
      </w:r>
    </w:p>
    <w:p>
      <w:pPr>
        <w:pStyle w:val="ListParagraph"/>
        <w:numPr>
          <w:ilvl w:val="1"/>
          <w:numId w:val="3"/>
        </w:numPr>
        <w:tabs>
          <w:tab w:pos="1698" w:val="left" w:leader="none"/>
          <w:tab w:pos="1699" w:val="left" w:leader="none"/>
        </w:tabs>
        <w:spacing w:line="240" w:lineRule="auto" w:before="27" w:after="0"/>
        <w:ind w:left="1698" w:right="0" w:hanging="309"/>
        <w:jc w:val="left"/>
        <w:rPr>
          <w:sz w:val="20"/>
        </w:rPr>
      </w:pPr>
      <w:r>
        <w:rPr>
          <w:color w:val="231F20"/>
          <w:sz w:val="20"/>
        </w:rPr>
        <w:t>Prévenir les complications de l’HTA</w:t>
      </w:r>
      <w:r>
        <w:rPr>
          <w:color w:val="231F20"/>
          <w:spacing w:val="-1"/>
          <w:sz w:val="20"/>
        </w:rPr>
        <w:t> </w:t>
      </w:r>
      <w:r>
        <w:rPr>
          <w:color w:val="231F20"/>
          <w:sz w:val="20"/>
        </w:rPr>
        <w:t>;</w:t>
      </w:r>
    </w:p>
    <w:p>
      <w:pPr>
        <w:pStyle w:val="ListParagraph"/>
        <w:numPr>
          <w:ilvl w:val="1"/>
          <w:numId w:val="3"/>
        </w:numPr>
        <w:tabs>
          <w:tab w:pos="1698" w:val="left" w:leader="none"/>
          <w:tab w:pos="1699" w:val="left" w:leader="none"/>
        </w:tabs>
        <w:spacing w:line="240" w:lineRule="auto" w:before="24" w:after="0"/>
        <w:ind w:left="1698" w:right="0" w:hanging="309"/>
        <w:jc w:val="left"/>
        <w:rPr>
          <w:sz w:val="20"/>
        </w:rPr>
      </w:pPr>
      <w:r>
        <w:rPr>
          <w:color w:val="231F20"/>
          <w:sz w:val="20"/>
        </w:rPr>
        <w:t>Prendre en charge les facteurs de risque cardiovasculaire</w:t>
      </w:r>
      <w:r>
        <w:rPr>
          <w:color w:val="231F20"/>
          <w:spacing w:val="-3"/>
          <w:sz w:val="20"/>
        </w:rPr>
        <w:t> </w:t>
      </w:r>
      <w:r>
        <w:rPr>
          <w:color w:val="231F20"/>
          <w:sz w:val="20"/>
        </w:rPr>
        <w:t>modifiables</w:t>
      </w:r>
    </w:p>
    <w:p>
      <w:pPr>
        <w:pStyle w:val="BodyText"/>
        <w:spacing w:before="11"/>
        <w:rPr>
          <w:sz w:val="17"/>
        </w:rPr>
      </w:pPr>
    </w:p>
    <w:p>
      <w:pPr>
        <w:pStyle w:val="BodyText"/>
        <w:ind w:left="403" w:right="162" w:firstLine="53"/>
      </w:pPr>
      <w:r>
        <w:rPr>
          <w:color w:val="231F20"/>
        </w:rPr>
        <w:t>Le patient doit être informé que le traitement est à vie et que l’interruption du traitement est dangereuse.</w:t>
      </w:r>
    </w:p>
    <w:p>
      <w:pPr>
        <w:pStyle w:val="Heading1"/>
        <w:numPr>
          <w:ilvl w:val="0"/>
          <w:numId w:val="3"/>
        </w:numPr>
        <w:tabs>
          <w:tab w:pos="1382" w:val="left" w:leader="none"/>
        </w:tabs>
        <w:spacing w:line="240" w:lineRule="auto" w:before="58" w:after="0"/>
        <w:ind w:left="1381" w:right="0" w:hanging="330"/>
        <w:jc w:val="left"/>
        <w:rPr>
          <w:color w:val="231F20"/>
        </w:rPr>
      </w:pPr>
      <w:r>
        <w:rPr>
          <w:color w:val="231F20"/>
        </w:rPr>
        <w:t>Mesures hygiéno-diététiques par la modification des habitudes de vie</w:t>
      </w:r>
      <w:r>
        <w:rPr>
          <w:color w:val="231F20"/>
          <w:spacing w:val="5"/>
        </w:rPr>
        <w:t> </w:t>
      </w:r>
      <w:r>
        <w:rPr>
          <w:color w:val="231F20"/>
        </w:rPr>
        <w:t>:</w:t>
      </w:r>
    </w:p>
    <w:p>
      <w:pPr>
        <w:pStyle w:val="ListParagraph"/>
        <w:numPr>
          <w:ilvl w:val="0"/>
          <w:numId w:val="4"/>
        </w:numPr>
        <w:tabs>
          <w:tab w:pos="1698" w:val="left" w:leader="none"/>
          <w:tab w:pos="1699" w:val="left" w:leader="none"/>
        </w:tabs>
        <w:spacing w:line="278" w:lineRule="auto" w:before="36" w:after="0"/>
        <w:ind w:left="2039" w:right="320" w:hanging="658"/>
        <w:jc w:val="left"/>
        <w:rPr>
          <w:color w:val="231F20"/>
          <w:sz w:val="20"/>
        </w:rPr>
      </w:pPr>
      <w:r>
        <w:rPr>
          <w:b/>
          <w:color w:val="231F20"/>
          <w:sz w:val="20"/>
        </w:rPr>
        <w:t>Repos et régime hyposodé (</w:t>
      </w:r>
      <w:r>
        <w:rPr>
          <w:color w:val="231F20"/>
          <w:sz w:val="20"/>
        </w:rPr>
        <w:t>&lt;6g/24h de NaCl) en évitant de saler les aliments et les aliments riches en sel (charcuteries, pain). Un régime sans sel strict sera prescrit uniquement en cas d’insuffisance cardiaque</w:t>
      </w:r>
      <w:r>
        <w:rPr>
          <w:color w:val="231F20"/>
          <w:spacing w:val="-1"/>
          <w:sz w:val="20"/>
        </w:rPr>
        <w:t> </w:t>
      </w:r>
      <w:r>
        <w:rPr>
          <w:color w:val="231F20"/>
          <w:sz w:val="20"/>
        </w:rPr>
        <w:t>associée.</w:t>
      </w:r>
    </w:p>
    <w:p>
      <w:pPr>
        <w:pStyle w:val="ListParagraph"/>
        <w:numPr>
          <w:ilvl w:val="0"/>
          <w:numId w:val="4"/>
        </w:numPr>
        <w:tabs>
          <w:tab w:pos="1699" w:val="left" w:leader="none"/>
        </w:tabs>
        <w:spacing w:line="225" w:lineRule="exact" w:before="0" w:after="0"/>
        <w:ind w:left="1698" w:right="0" w:hanging="318"/>
        <w:jc w:val="left"/>
        <w:rPr>
          <w:i/>
          <w:color w:val="231F20"/>
          <w:sz w:val="20"/>
        </w:rPr>
      </w:pPr>
      <w:r>
        <w:rPr>
          <w:b/>
          <w:color w:val="231F20"/>
          <w:sz w:val="20"/>
        </w:rPr>
        <w:t>Réduction du poids </w:t>
      </w:r>
      <w:r>
        <w:rPr>
          <w:i/>
          <w:color w:val="231F20"/>
          <w:sz w:val="20"/>
        </w:rPr>
        <w:t>en cas d’excès pondéral (si IMC</w:t>
      </w:r>
      <w:r>
        <w:rPr>
          <w:i/>
          <w:color w:val="231F20"/>
          <w:spacing w:val="5"/>
          <w:sz w:val="20"/>
        </w:rPr>
        <w:t> </w:t>
      </w:r>
      <w:r>
        <w:rPr>
          <w:i/>
          <w:color w:val="231F20"/>
          <w:sz w:val="20"/>
        </w:rPr>
        <w:t>&gt;25Kg/m</w:t>
      </w:r>
      <w:r>
        <w:rPr>
          <w:i/>
          <w:color w:val="231F20"/>
          <w:sz w:val="20"/>
          <w:vertAlign w:val="superscript"/>
        </w:rPr>
        <w:t>2</w:t>
      </w:r>
      <w:r>
        <w:rPr>
          <w:i/>
          <w:color w:val="231F20"/>
          <w:sz w:val="20"/>
          <w:vertAlign w:val="baseline"/>
        </w:rPr>
        <w:t>)</w:t>
      </w:r>
    </w:p>
    <w:p>
      <w:pPr>
        <w:pStyle w:val="BodyText"/>
        <w:spacing w:before="38"/>
        <w:ind w:left="2039" w:right="149"/>
      </w:pPr>
      <w:r>
        <w:rPr>
          <w:color w:val="231F20"/>
        </w:rPr>
        <w:t>Elle permet une baisse de la pression artérielle et a un bénéfice sur le diabète, l’insulino-résistance et la dyslipidémie</w:t>
      </w:r>
    </w:p>
    <w:p>
      <w:pPr>
        <w:pStyle w:val="Heading1"/>
        <w:numPr>
          <w:ilvl w:val="0"/>
          <w:numId w:val="4"/>
        </w:numPr>
        <w:tabs>
          <w:tab w:pos="1699" w:val="left" w:leader="none"/>
        </w:tabs>
        <w:spacing w:line="240" w:lineRule="auto" w:before="2" w:after="0"/>
        <w:ind w:left="1698" w:right="0" w:hanging="318"/>
        <w:jc w:val="left"/>
        <w:rPr>
          <w:color w:val="231F20"/>
        </w:rPr>
      </w:pPr>
      <w:r>
        <w:rPr>
          <w:color w:val="231F20"/>
        </w:rPr>
        <w:t>Augmenter raisonnablement l’activité</w:t>
      </w:r>
      <w:r>
        <w:rPr>
          <w:color w:val="231F20"/>
          <w:spacing w:val="3"/>
        </w:rPr>
        <w:t> </w:t>
      </w:r>
      <w:r>
        <w:rPr>
          <w:color w:val="231F20"/>
        </w:rPr>
        <w:t>physique</w:t>
      </w:r>
    </w:p>
    <w:p>
      <w:pPr>
        <w:pStyle w:val="BodyText"/>
        <w:spacing w:before="36"/>
        <w:ind w:left="2039" w:right="162"/>
      </w:pPr>
      <w:r>
        <w:rPr>
          <w:color w:val="231F20"/>
        </w:rPr>
        <w:t>Il vaut mieux pratiquer le sport plusieurs fois par semaine qu’une seule fois de manière prolongée (30 minutes 3 fois par semaine)</w:t>
      </w:r>
    </w:p>
    <w:p>
      <w:pPr>
        <w:pStyle w:val="Heading1"/>
        <w:numPr>
          <w:ilvl w:val="0"/>
          <w:numId w:val="3"/>
        </w:numPr>
        <w:tabs>
          <w:tab w:pos="1382" w:val="left" w:leader="none"/>
        </w:tabs>
        <w:spacing w:line="240" w:lineRule="auto" w:before="2" w:after="0"/>
        <w:ind w:left="1381" w:right="0" w:hanging="330"/>
        <w:jc w:val="left"/>
        <w:rPr>
          <w:color w:val="231F20"/>
        </w:rPr>
      </w:pPr>
      <w:r>
        <w:rPr>
          <w:color w:val="231F20"/>
        </w:rPr>
        <w:t>Traitements</w:t>
      </w:r>
    </w:p>
    <w:p>
      <w:pPr>
        <w:pStyle w:val="ListParagraph"/>
        <w:numPr>
          <w:ilvl w:val="1"/>
          <w:numId w:val="3"/>
        </w:numPr>
        <w:tabs>
          <w:tab w:pos="1698" w:val="left" w:leader="none"/>
          <w:tab w:pos="1699" w:val="left" w:leader="none"/>
        </w:tabs>
        <w:spacing w:line="264" w:lineRule="auto" w:before="36" w:after="0"/>
        <w:ind w:left="1719" w:right="193" w:hanging="329"/>
        <w:jc w:val="left"/>
        <w:rPr>
          <w:sz w:val="20"/>
          <w:szCs w:val="20"/>
        </w:rPr>
      </w:pPr>
      <w:r>
        <w:rPr>
          <w:b/>
          <w:bCs/>
          <w:color w:val="231F20"/>
          <w:sz w:val="20"/>
          <w:szCs w:val="20"/>
        </w:rPr>
        <w:t>Si </w:t>
      </w:r>
      <w:r>
        <w:rPr>
          <w:b/>
          <w:bCs/>
          <w:color w:val="231F20"/>
          <w:spacing w:val="-3"/>
          <w:sz w:val="20"/>
          <w:szCs w:val="20"/>
        </w:rPr>
        <w:t>TA� </w:t>
      </w:r>
      <w:r>
        <w:rPr>
          <w:b/>
          <w:bCs/>
          <w:color w:val="231F20"/>
          <w:sz w:val="20"/>
          <w:szCs w:val="20"/>
        </w:rPr>
        <w:t>16/10 cmHg </w:t>
      </w:r>
      <w:r>
        <w:rPr>
          <w:color w:val="231F20"/>
          <w:sz w:val="20"/>
          <w:szCs w:val="20"/>
        </w:rPr>
        <w:t>: Nifédipine 20mg : 3x 1cp/j, </w:t>
      </w:r>
      <w:r>
        <w:rPr>
          <w:b/>
          <w:bCs/>
          <w:color w:val="231F20"/>
          <w:sz w:val="20"/>
          <w:szCs w:val="20"/>
        </w:rPr>
        <w:t>sauf chez la femme enceinte</w:t>
      </w:r>
      <w:r>
        <w:rPr>
          <w:color w:val="231F20"/>
          <w:sz w:val="20"/>
          <w:szCs w:val="20"/>
        </w:rPr>
        <w:t>,</w:t>
      </w:r>
      <w:r>
        <w:rPr>
          <w:color w:val="231F20"/>
          <w:spacing w:val="-27"/>
          <w:sz w:val="20"/>
          <w:szCs w:val="20"/>
        </w:rPr>
        <w:t> </w:t>
      </w:r>
      <w:r>
        <w:rPr>
          <w:color w:val="231F20"/>
          <w:spacing w:val="-12"/>
          <w:sz w:val="20"/>
          <w:szCs w:val="20"/>
        </w:rPr>
        <w:t>où </w:t>
      </w:r>
      <w:r>
        <w:rPr>
          <w:color w:val="231F20"/>
          <w:sz w:val="20"/>
          <w:szCs w:val="20"/>
        </w:rPr>
        <w:t>on utilise le Méthyldopa 250mg : 3x</w:t>
      </w:r>
      <w:r>
        <w:rPr>
          <w:color w:val="231F20"/>
          <w:spacing w:val="6"/>
          <w:sz w:val="20"/>
          <w:szCs w:val="20"/>
        </w:rPr>
        <w:t> </w:t>
      </w:r>
      <w:r>
        <w:rPr>
          <w:color w:val="231F20"/>
          <w:sz w:val="20"/>
          <w:szCs w:val="20"/>
        </w:rPr>
        <w:t>1cp/j</w:t>
      </w:r>
    </w:p>
    <w:p>
      <w:pPr>
        <w:pStyle w:val="BodyText"/>
        <w:spacing w:before="13"/>
        <w:ind w:left="1719"/>
      </w:pPr>
      <w:r>
        <w:rPr>
          <w:color w:val="231F20"/>
        </w:rPr>
        <w:t>Diazépam 5mg : 2x 1cp/j</w:t>
      </w:r>
    </w:p>
    <w:p>
      <w:pPr>
        <w:pStyle w:val="ListParagraph"/>
        <w:numPr>
          <w:ilvl w:val="1"/>
          <w:numId w:val="3"/>
        </w:numPr>
        <w:tabs>
          <w:tab w:pos="1698" w:val="left" w:leader="none"/>
          <w:tab w:pos="1699" w:val="left" w:leader="none"/>
        </w:tabs>
        <w:spacing w:line="266" w:lineRule="auto" w:before="36" w:after="0"/>
        <w:ind w:left="1719" w:right="1731" w:hanging="329"/>
        <w:jc w:val="left"/>
        <w:rPr>
          <w:sz w:val="20"/>
        </w:rPr>
      </w:pPr>
      <w:r>
        <w:rPr>
          <w:b/>
          <w:color w:val="231F20"/>
          <w:sz w:val="20"/>
        </w:rPr>
        <w:t>Si </w:t>
      </w:r>
      <w:r>
        <w:rPr>
          <w:b/>
          <w:color w:val="231F20"/>
          <w:spacing w:val="-3"/>
          <w:sz w:val="20"/>
        </w:rPr>
        <w:t>TA&lt; </w:t>
      </w:r>
      <w:r>
        <w:rPr>
          <w:b/>
          <w:color w:val="231F20"/>
          <w:sz w:val="20"/>
        </w:rPr>
        <w:t>16/10 cmHg </w:t>
      </w:r>
      <w:r>
        <w:rPr>
          <w:color w:val="231F20"/>
          <w:sz w:val="20"/>
        </w:rPr>
        <w:t>: Diazépam 5 mg : 2x 1cp/j pendant 3 jours et Méthyldopa 250mg : 3x</w:t>
      </w:r>
      <w:r>
        <w:rPr>
          <w:color w:val="231F20"/>
          <w:spacing w:val="-6"/>
          <w:sz w:val="20"/>
        </w:rPr>
        <w:t> </w:t>
      </w:r>
      <w:r>
        <w:rPr>
          <w:color w:val="231F20"/>
          <w:sz w:val="20"/>
        </w:rPr>
        <w:t>1cp/j</w:t>
      </w:r>
    </w:p>
    <w:p>
      <w:pPr>
        <w:pStyle w:val="BodyText"/>
        <w:rPr>
          <w:sz w:val="22"/>
        </w:rPr>
      </w:pPr>
    </w:p>
    <w:p>
      <w:pPr>
        <w:spacing w:before="111"/>
        <w:ind w:left="4684" w:right="4436" w:firstLine="0"/>
        <w:jc w:val="center"/>
        <w:rPr>
          <w:rFonts w:ascii="Times New Roman"/>
          <w:sz w:val="18"/>
        </w:rPr>
      </w:pPr>
      <w:r>
        <w:rPr>
          <w:rFonts w:ascii="Times New Roman"/>
          <w:color w:val="231F20"/>
          <w:sz w:val="18"/>
        </w:rPr>
        <w:t>65</w:t>
      </w:r>
    </w:p>
    <w:sectPr>
      <w:type w:val="continuous"/>
      <w:pgSz w:w="11900" w:h="16840"/>
      <w:pgMar w:top="1600" w:bottom="280" w:left="1680" w:right="8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Symbol">
    <w:altName w:val="Symbol"/>
    <w:charset w:val="2"/>
    <w:family w:val="roman"/>
    <w:pitch w:val="variable"/>
  </w:font>
  <w:font w:name="Calibri">
    <w:altName w:val="Calibri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lowerRoman"/>
      <w:lvlText w:val="%1."/>
      <w:lvlJc w:val="left"/>
      <w:pPr>
        <w:ind w:left="2039" w:hanging="318"/>
        <w:jc w:val="left"/>
      </w:pPr>
      <w:rPr>
        <w:rFonts w:hint="default"/>
        <w:b/>
        <w:bCs/>
        <w:spacing w:val="0"/>
        <w:w w:val="101"/>
      </w:rPr>
    </w:lvl>
    <w:lvl w:ilvl="1">
      <w:start w:val="0"/>
      <w:numFmt w:val="bullet"/>
      <w:lvlText w:val="•"/>
      <w:lvlJc w:val="left"/>
      <w:pPr>
        <w:ind w:left="2770" w:hanging="31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500" w:hanging="31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230" w:hanging="31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960" w:hanging="31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690" w:hanging="31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420" w:hanging="31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150" w:hanging="31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880" w:hanging="318"/>
      </w:pPr>
      <w:rPr>
        <w:rFonts w:hint="default"/>
      </w:rPr>
    </w:lvl>
  </w:abstractNum>
  <w:abstractNum w:abstractNumId="2">
    <w:multiLevelType w:val="hybridMultilevel"/>
    <w:lvl w:ilvl="0">
      <w:start w:val="1"/>
      <w:numFmt w:val="lowerLetter"/>
      <w:lvlText w:val="%1)"/>
      <w:lvlJc w:val="left"/>
      <w:pPr>
        <w:ind w:left="1381" w:hanging="329"/>
        <w:jc w:val="left"/>
      </w:pPr>
      <w:rPr>
        <w:rFonts w:hint="default"/>
        <w:b/>
        <w:bCs/>
        <w:spacing w:val="-1"/>
        <w:w w:val="101"/>
      </w:rPr>
    </w:lvl>
    <w:lvl w:ilvl="1">
      <w:start w:val="0"/>
      <w:numFmt w:val="bullet"/>
      <w:lvlText w:val="-"/>
      <w:lvlJc w:val="left"/>
      <w:pPr>
        <w:ind w:left="1719" w:hanging="308"/>
      </w:pPr>
      <w:rPr>
        <w:rFonts w:hint="default" w:ascii="Calibri" w:hAnsi="Calibri" w:eastAsia="Calibri" w:cs="Calibri"/>
        <w:color w:val="231F20"/>
        <w:w w:val="100"/>
        <w:sz w:val="20"/>
        <w:szCs w:val="20"/>
      </w:rPr>
    </w:lvl>
    <w:lvl w:ilvl="2">
      <w:start w:val="0"/>
      <w:numFmt w:val="bullet"/>
      <w:lvlText w:val="•"/>
      <w:lvlJc w:val="left"/>
      <w:pPr>
        <w:ind w:left="2566" w:hanging="30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13" w:hanging="30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60" w:hanging="30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06" w:hanging="30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53" w:hanging="30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800" w:hanging="30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646" w:hanging="308"/>
      </w:pPr>
      <w:rPr>
        <w:rFonts w:hint="default"/>
      </w:rPr>
    </w:lvl>
  </w:abstractNum>
  <w:abstractNum w:abstractNumId="1">
    <w:multiLevelType w:val="hybridMultilevel"/>
    <w:lvl w:ilvl="0">
      <w:start w:val="0"/>
      <w:numFmt w:val="bullet"/>
      <w:lvlText w:val=""/>
      <w:lvlJc w:val="left"/>
      <w:pPr>
        <w:ind w:left="428" w:hanging="318"/>
      </w:pPr>
      <w:rPr>
        <w:rFonts w:hint="default" w:ascii="Symbol" w:hAnsi="Symbol" w:eastAsia="Symbol" w:cs="Symbol"/>
        <w:color w:val="231F20"/>
        <w:w w:val="100"/>
        <w:sz w:val="20"/>
        <w:szCs w:val="20"/>
      </w:rPr>
    </w:lvl>
    <w:lvl w:ilvl="1">
      <w:start w:val="0"/>
      <w:numFmt w:val="bullet"/>
      <w:lvlText w:val="•"/>
      <w:lvlJc w:val="left"/>
      <w:pPr>
        <w:ind w:left="1236" w:hanging="31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052" w:hanging="31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68" w:hanging="31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684" w:hanging="31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500" w:hanging="31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16" w:hanging="31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132" w:hanging="31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948" w:hanging="318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1390" w:hanging="329"/>
        <w:jc w:val="left"/>
      </w:pPr>
      <w:rPr>
        <w:rFonts w:hint="default" w:ascii="Arial" w:hAnsi="Arial" w:eastAsia="Arial" w:cs="Arial"/>
        <w:b/>
        <w:bCs/>
        <w:color w:val="231F20"/>
        <w:spacing w:val="-1"/>
        <w:w w:val="101"/>
        <w:sz w:val="20"/>
        <w:szCs w:val="20"/>
      </w:rPr>
    </w:lvl>
    <w:lvl w:ilvl="1">
      <w:start w:val="0"/>
      <w:numFmt w:val="bullet"/>
      <w:lvlText w:val="•"/>
      <w:lvlJc w:val="left"/>
      <w:pPr>
        <w:ind w:left="2194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988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78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576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37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16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9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752" w:hanging="329"/>
      </w:pPr>
      <w:rPr>
        <w:rFonts w:hint="default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0"/>
      <w:szCs w:val="20"/>
    </w:rPr>
  </w:style>
  <w:style w:styleId="Heading1" w:type="paragraph">
    <w:name w:val="Heading 1"/>
    <w:basedOn w:val="Normal"/>
    <w:uiPriority w:val="1"/>
    <w:qFormat/>
    <w:pPr>
      <w:spacing w:before="2"/>
      <w:ind w:left="1381" w:hanging="330"/>
      <w:outlineLvl w:val="1"/>
    </w:pPr>
    <w:rPr>
      <w:rFonts w:ascii="Arial" w:hAnsi="Arial" w:eastAsia="Arial" w:cs="Arial"/>
      <w:b/>
      <w:bCs/>
      <w:sz w:val="20"/>
      <w:szCs w:val="20"/>
    </w:rPr>
  </w:style>
  <w:style w:styleId="ListParagraph" w:type="paragraph">
    <w:name w:val="List Paragraph"/>
    <w:basedOn w:val="Normal"/>
    <w:uiPriority w:val="1"/>
    <w:qFormat/>
    <w:pPr>
      <w:spacing w:before="36"/>
      <w:ind w:left="1698" w:hanging="330"/>
    </w:pPr>
    <w:rPr>
      <w:rFonts w:ascii="Arial" w:hAnsi="Arial" w:eastAsia="Arial" w:cs="Arial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frank</dc:creator>
  <dc:title>Guide SPT Vs Final signé 09.06.12.pdf</dc:title>
  <dcterms:created xsi:type="dcterms:W3CDTF">2020-02-25T15:27:29Z</dcterms:created>
  <dcterms:modified xsi:type="dcterms:W3CDTF">2020-02-25T15:27:29Z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2017-11-16T00:00:00Z</vt:filetime>
  </property>
  <property fmtid="{D5CDD505-2E9C-101B-9397-08002B2CF9AE}" pid="3" name="Creator">
    <vt:lpwstr>Bullzip PDF Printer (10.8.0.2282)</vt:lpwstr>
  </property>
  <property fmtid="{D5CDD505-2E9C-101B-9397-08002B2CF9AE}" pid="4" name="LastSaved">
    <vt:filetime>2020-02-25T00:00:00Z</vt:filetime>
  </property>
</Properties>
</file>