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1"/>
        </w:rPr>
      </w:pPr>
    </w:p>
    <w:p>
      <w:pPr>
        <w:pStyle w:val="BodyText"/>
        <w:ind w:left="345"/>
        <w:rPr>
          <w:rFonts w:ascii="Times New Roman"/>
        </w:rPr>
      </w:pPr>
      <w:r>
        <w:rPr>
          <w:rFonts w:ascii="Times New Roman"/>
          <w:position w:val="0"/>
        </w:rPr>
        <w:pict>
          <v:shapetype id="_x0000_t202" o:spt="202" coordsize="21600,21600" path="m,l,21600r21600,l21600,xe">
            <v:stroke joinstyle="miter"/>
            <v:path gradientshapeok="t" o:connecttype="rect"/>
          </v:shapetype>
          <v:shape style="width:444.25pt;height:17.25pt;mso-position-horizontal-relative:char;mso-position-vertical-relative:line" type="#_x0000_t202" filled="true" fillcolor="#e6e7e8" stroked="true" strokeweight=".700313pt" strokecolor="#231f20">
            <w10:anchorlock/>
            <v:textbox inset="0,0,0,0">
              <w:txbxContent>
                <w:p>
                  <w:pPr>
                    <w:spacing w:before="23"/>
                    <w:ind w:left="1352" w:right="1352" w:firstLine="0"/>
                    <w:jc w:val="center"/>
                    <w:rPr>
                      <w:b/>
                      <w:sz w:val="25"/>
                    </w:rPr>
                  </w:pPr>
                  <w:r>
                    <w:rPr>
                      <w:b/>
                      <w:color w:val="231F20"/>
                      <w:sz w:val="25"/>
                    </w:rPr>
                    <w:t>INFORMATION - Conseils d’hygiène bucco-dentaire</w:t>
                  </w:r>
                </w:p>
              </w:txbxContent>
            </v:textbox>
            <v:fill type="solid"/>
            <v:stroke dashstyle="solid"/>
          </v:shape>
        </w:pict>
      </w:r>
      <w:r>
        <w:rPr>
          <w:rFonts w:ascii="Times New Roman"/>
          <w:position w:val="0"/>
        </w:rPr>
      </w:r>
    </w:p>
    <w:p>
      <w:pPr>
        <w:pStyle w:val="BodyText"/>
        <w:rPr>
          <w:rFonts w:ascii="Times New Roman"/>
        </w:rPr>
      </w:pPr>
    </w:p>
    <w:p>
      <w:pPr>
        <w:pStyle w:val="BodyText"/>
        <w:rPr>
          <w:rFonts w:ascii="Times New Roman"/>
        </w:rPr>
      </w:pPr>
    </w:p>
    <w:p>
      <w:pPr>
        <w:pStyle w:val="BodyText"/>
        <w:spacing w:before="6"/>
        <w:rPr>
          <w:rFonts w:ascii="Times New Roman"/>
          <w:sz w:val="18"/>
        </w:rPr>
      </w:pPr>
    </w:p>
    <w:p>
      <w:pPr>
        <w:spacing w:before="0"/>
        <w:ind w:left="403" w:right="0" w:firstLine="0"/>
        <w:jc w:val="both"/>
        <w:rPr>
          <w:b/>
          <w:sz w:val="22"/>
        </w:rPr>
      </w:pPr>
      <w:r>
        <w:rPr>
          <w:b/>
          <w:color w:val="231F20"/>
          <w:sz w:val="22"/>
        </w:rPr>
        <w:t>Maladie parodontale</w:t>
      </w:r>
    </w:p>
    <w:p>
      <w:pPr>
        <w:pStyle w:val="BodyText"/>
        <w:spacing w:before="9"/>
        <w:rPr>
          <w:b/>
          <w:sz w:val="31"/>
        </w:rPr>
      </w:pPr>
    </w:p>
    <w:p>
      <w:pPr>
        <w:pStyle w:val="Heading1"/>
        <w:numPr>
          <w:ilvl w:val="0"/>
          <w:numId w:val="1"/>
        </w:numPr>
        <w:tabs>
          <w:tab w:pos="1050" w:val="left" w:leader="none"/>
        </w:tabs>
        <w:spacing w:line="240" w:lineRule="auto" w:before="0" w:after="0"/>
        <w:ind w:left="1049" w:right="0" w:hanging="318"/>
        <w:jc w:val="left"/>
      </w:pPr>
      <w:r>
        <w:rPr>
          <w:color w:val="231F20"/>
        </w:rPr>
        <w:t>Définition</w:t>
      </w:r>
    </w:p>
    <w:p>
      <w:pPr>
        <w:pStyle w:val="BodyText"/>
        <w:rPr>
          <w:b/>
          <w:sz w:val="19"/>
        </w:rPr>
      </w:pPr>
    </w:p>
    <w:p>
      <w:pPr>
        <w:pStyle w:val="BodyText"/>
        <w:ind w:left="403" w:right="147"/>
        <w:jc w:val="both"/>
      </w:pPr>
      <w:r>
        <w:rPr>
          <w:color w:val="231F20"/>
        </w:rPr>
        <w:t>On regroupe sous le terme de maladies parodontales, les maladies touchant les tissus de soutien des dents .L’ensemble de ces tissus est appelé parodonte.</w:t>
      </w:r>
    </w:p>
    <w:p>
      <w:pPr>
        <w:pStyle w:val="BodyText"/>
        <w:spacing w:before="58"/>
        <w:ind w:left="403" w:right="147"/>
        <w:jc w:val="both"/>
      </w:pPr>
      <w:r>
        <w:rPr>
          <w:color w:val="231F20"/>
        </w:rPr>
        <w:t>Lorsque la maladie parodontale se limite à la gencive, on parlera de gingivite. Lorsqu’elle touche l’ensemble du parodonte, on parlera de parodontite. La perte osseuse qui en résulte est appelé alvéolyse.</w:t>
      </w:r>
    </w:p>
    <w:p>
      <w:pPr>
        <w:pStyle w:val="BodyText"/>
        <w:spacing w:line="242" w:lineRule="auto" w:before="57"/>
        <w:ind w:left="403" w:right="147"/>
        <w:jc w:val="both"/>
      </w:pPr>
      <w:r>
        <w:rPr>
          <w:color w:val="231F20"/>
        </w:rPr>
        <w:t>La gingivite comme la parodontite sont dues à la plaque dentaire, constituée d’une communauté microbienne, qui comprend les bactéries, les virus, les protozoaires et les levures.</w:t>
      </w:r>
    </w:p>
    <w:p>
      <w:pPr>
        <w:pStyle w:val="BodyText"/>
        <w:spacing w:before="53"/>
        <w:ind w:left="403"/>
        <w:jc w:val="both"/>
      </w:pPr>
      <w:r>
        <w:rPr>
          <w:color w:val="231F20"/>
        </w:rPr>
        <w:t>C’est la première cause des chutes de dents, avant les caries</w:t>
      </w:r>
    </w:p>
    <w:p>
      <w:pPr>
        <w:pStyle w:val="BodyText"/>
        <w:spacing w:before="8"/>
        <w:rPr>
          <w:sz w:val="29"/>
        </w:rPr>
      </w:pPr>
    </w:p>
    <w:p>
      <w:pPr>
        <w:pStyle w:val="Heading1"/>
        <w:numPr>
          <w:ilvl w:val="0"/>
          <w:numId w:val="1"/>
        </w:numPr>
        <w:tabs>
          <w:tab w:pos="1050" w:val="left" w:leader="none"/>
        </w:tabs>
        <w:spacing w:line="240" w:lineRule="auto" w:before="0" w:after="0"/>
        <w:ind w:left="1049" w:right="0" w:hanging="318"/>
        <w:jc w:val="left"/>
      </w:pPr>
      <w:r>
        <w:rPr>
          <w:color w:val="231F20"/>
        </w:rPr>
        <w:t>Symptômes :</w:t>
      </w:r>
    </w:p>
    <w:p>
      <w:pPr>
        <w:pStyle w:val="BodyText"/>
        <w:spacing w:before="5"/>
        <w:rPr>
          <w:b/>
          <w:sz w:val="23"/>
        </w:rPr>
      </w:pPr>
    </w:p>
    <w:p>
      <w:pPr>
        <w:pStyle w:val="ListParagraph"/>
        <w:numPr>
          <w:ilvl w:val="0"/>
          <w:numId w:val="2"/>
        </w:numPr>
        <w:tabs>
          <w:tab w:pos="1049" w:val="left" w:leader="none"/>
          <w:tab w:pos="1050" w:val="left" w:leader="none"/>
        </w:tabs>
        <w:spacing w:line="240" w:lineRule="auto" w:before="0" w:after="0"/>
        <w:ind w:left="1049" w:right="0" w:hanging="318"/>
        <w:jc w:val="left"/>
        <w:rPr>
          <w:sz w:val="20"/>
        </w:rPr>
      </w:pPr>
      <w:r>
        <w:rPr>
          <w:color w:val="231F20"/>
          <w:sz w:val="20"/>
        </w:rPr>
        <w:t>Douleur dentaire</w:t>
      </w:r>
    </w:p>
    <w:p>
      <w:pPr>
        <w:pStyle w:val="ListParagraph"/>
        <w:numPr>
          <w:ilvl w:val="0"/>
          <w:numId w:val="2"/>
        </w:numPr>
        <w:tabs>
          <w:tab w:pos="1049" w:val="left" w:leader="none"/>
          <w:tab w:pos="1050" w:val="left" w:leader="none"/>
        </w:tabs>
        <w:spacing w:line="280" w:lineRule="auto" w:before="38" w:after="0"/>
        <w:ind w:left="1061" w:right="574" w:hanging="329"/>
        <w:jc w:val="left"/>
        <w:rPr>
          <w:sz w:val="20"/>
        </w:rPr>
      </w:pPr>
      <w:r>
        <w:rPr>
          <w:color w:val="231F20"/>
          <w:sz w:val="20"/>
        </w:rPr>
        <w:t>Signes visibles de la gingivite : gencive rouge, lisse, gonflée ; elle saigne facilement au contact, parfois même</w:t>
      </w:r>
      <w:r>
        <w:rPr>
          <w:color w:val="231F20"/>
          <w:spacing w:val="-6"/>
          <w:sz w:val="20"/>
        </w:rPr>
        <w:t> </w:t>
      </w:r>
      <w:r>
        <w:rPr>
          <w:color w:val="231F20"/>
          <w:sz w:val="20"/>
        </w:rPr>
        <w:t>spontanément</w:t>
      </w:r>
    </w:p>
    <w:p>
      <w:pPr>
        <w:pStyle w:val="ListParagraph"/>
        <w:numPr>
          <w:ilvl w:val="0"/>
          <w:numId w:val="2"/>
        </w:numPr>
        <w:tabs>
          <w:tab w:pos="1049" w:val="left" w:leader="none"/>
          <w:tab w:pos="1050" w:val="left" w:leader="none"/>
        </w:tabs>
        <w:spacing w:line="278" w:lineRule="auto" w:before="0" w:after="0"/>
        <w:ind w:left="1061" w:right="315" w:hanging="329"/>
        <w:jc w:val="left"/>
        <w:rPr>
          <w:sz w:val="20"/>
        </w:rPr>
      </w:pPr>
      <w:r>
        <w:rPr>
          <w:color w:val="231F20"/>
          <w:sz w:val="20"/>
        </w:rPr>
        <w:t>Signes visibles de la parodontite : «Déchaussement » des dents, c’est-à-dire que l’os de soutient de la dent perd de la hauteur, la dent apparaît plus longue. Mobilités dentaires. C’est souvent le signe le plus inquiétant. L’hypersensibilité dentaire aux collets des dents, suite à l’exposition de la</w:t>
      </w:r>
      <w:r>
        <w:rPr>
          <w:color w:val="231F20"/>
          <w:spacing w:val="2"/>
          <w:sz w:val="20"/>
        </w:rPr>
        <w:t> </w:t>
      </w:r>
      <w:r>
        <w:rPr>
          <w:color w:val="231F20"/>
          <w:sz w:val="20"/>
        </w:rPr>
        <w:t>racine</w:t>
      </w:r>
    </w:p>
    <w:p>
      <w:pPr>
        <w:pStyle w:val="BodyText"/>
        <w:spacing w:before="6"/>
        <w:rPr>
          <w:sz w:val="19"/>
        </w:rPr>
      </w:pPr>
    </w:p>
    <w:p>
      <w:pPr>
        <w:pStyle w:val="Heading1"/>
        <w:numPr>
          <w:ilvl w:val="0"/>
          <w:numId w:val="1"/>
        </w:numPr>
        <w:tabs>
          <w:tab w:pos="1050" w:val="left" w:leader="none"/>
        </w:tabs>
        <w:spacing w:line="240" w:lineRule="auto" w:before="0" w:after="0"/>
        <w:ind w:left="1049" w:right="0" w:hanging="318"/>
        <w:jc w:val="left"/>
      </w:pPr>
      <w:r>
        <w:rPr>
          <w:color w:val="231F20"/>
        </w:rPr>
        <w:t>Prise en charge des</w:t>
      </w:r>
      <w:r>
        <w:rPr>
          <w:color w:val="231F20"/>
          <w:spacing w:val="4"/>
        </w:rPr>
        <w:t> </w:t>
      </w:r>
      <w:r>
        <w:rPr>
          <w:color w:val="231F20"/>
        </w:rPr>
        <w:t>cas</w:t>
      </w:r>
    </w:p>
    <w:p>
      <w:pPr>
        <w:pStyle w:val="BodyText"/>
        <w:spacing w:before="7"/>
        <w:rPr>
          <w:b/>
          <w:sz w:val="23"/>
        </w:rPr>
      </w:pPr>
    </w:p>
    <w:p>
      <w:pPr>
        <w:pStyle w:val="ListParagraph"/>
        <w:numPr>
          <w:ilvl w:val="0"/>
          <w:numId w:val="2"/>
        </w:numPr>
        <w:tabs>
          <w:tab w:pos="1050" w:val="left" w:leader="none"/>
        </w:tabs>
        <w:spacing w:line="240" w:lineRule="auto" w:before="0" w:after="0"/>
        <w:ind w:left="1049" w:right="0" w:hanging="318"/>
        <w:jc w:val="both"/>
        <w:rPr>
          <w:sz w:val="20"/>
        </w:rPr>
      </w:pPr>
      <w:r>
        <w:rPr>
          <w:color w:val="231F20"/>
          <w:sz w:val="20"/>
        </w:rPr>
        <w:t>L’hygiène bucco</w:t>
      </w:r>
      <w:r>
        <w:rPr>
          <w:color w:val="231F20"/>
          <w:spacing w:val="2"/>
          <w:sz w:val="20"/>
        </w:rPr>
        <w:t> </w:t>
      </w:r>
      <w:r>
        <w:rPr>
          <w:color w:val="231F20"/>
          <w:sz w:val="20"/>
        </w:rPr>
        <w:t>dentaire</w:t>
      </w:r>
    </w:p>
    <w:p>
      <w:pPr>
        <w:pStyle w:val="BodyText"/>
        <w:spacing w:line="242" w:lineRule="auto" w:before="34"/>
        <w:ind w:left="1061" w:right="150"/>
        <w:jc w:val="both"/>
      </w:pPr>
      <w:r>
        <w:rPr>
          <w:color w:val="231F20"/>
        </w:rPr>
        <w:t>C’est en éliminant la plaque dentaire par un brossage très minutieux, réalisé deux fois par jour, pendant au moins trois minutes, avec une brosse à dents souple, que l’on peut prévenir les maladies parodontales.</w:t>
      </w:r>
    </w:p>
    <w:p>
      <w:pPr>
        <w:pStyle w:val="ListParagraph"/>
        <w:numPr>
          <w:ilvl w:val="0"/>
          <w:numId w:val="2"/>
        </w:numPr>
        <w:tabs>
          <w:tab w:pos="1050" w:val="left" w:leader="none"/>
        </w:tabs>
        <w:spacing w:line="278" w:lineRule="auto" w:before="0" w:after="0"/>
        <w:ind w:left="1061" w:right="415" w:hanging="329"/>
        <w:jc w:val="both"/>
        <w:rPr>
          <w:sz w:val="20"/>
        </w:rPr>
      </w:pPr>
      <w:r>
        <w:rPr>
          <w:color w:val="231F20"/>
          <w:sz w:val="20"/>
        </w:rPr>
        <w:t>En cas de gingivite ou de parodontite : indométacine cp25 mg 2x1cp/jour pendant 5jours associé à l’amoxycilline gel 500 mg 2x2gel/jour pendant 7jours</w:t>
      </w:r>
    </w:p>
    <w:p>
      <w:pPr>
        <w:pStyle w:val="BodyText"/>
        <w:spacing w:line="228" w:lineRule="exact"/>
        <w:ind w:left="1061"/>
        <w:jc w:val="both"/>
      </w:pPr>
      <w:r>
        <w:rPr>
          <w:color w:val="231F20"/>
        </w:rPr>
        <w:t>Si pas d’amélioration il faut référer à l’hôpital de district.</w:t>
      </w:r>
    </w:p>
    <w:p>
      <w:pPr>
        <w:pStyle w:val="BodyText"/>
        <w:spacing w:before="2"/>
      </w:pPr>
    </w:p>
    <w:p>
      <w:pPr>
        <w:pStyle w:val="BodyText"/>
        <w:ind w:left="1061"/>
        <w:jc w:val="both"/>
      </w:pPr>
      <w:r>
        <w:rPr>
          <w:color w:val="231F20"/>
          <w:u w:val="single" w:color="231F20"/>
        </w:rPr>
        <w:t>Nb </w:t>
      </w:r>
      <w:r>
        <w:rPr>
          <w:color w:val="231F20"/>
        </w:rPr>
        <w:t>:</w:t>
      </w:r>
    </w:p>
    <w:p>
      <w:pPr>
        <w:pStyle w:val="BodyText"/>
        <w:spacing w:line="229" w:lineRule="exact" w:before="4"/>
        <w:ind w:left="1061"/>
        <w:jc w:val="both"/>
      </w:pPr>
      <w:r>
        <w:rPr>
          <w:color w:val="231F20"/>
        </w:rPr>
        <w:t>Déconseiller le partage de la brosse à dent</w:t>
      </w:r>
    </w:p>
    <w:p>
      <w:pPr>
        <w:pStyle w:val="BodyText"/>
        <w:ind w:left="1061" w:right="149"/>
        <w:jc w:val="both"/>
      </w:pPr>
      <w:r>
        <w:rPr>
          <w:color w:val="231F20"/>
        </w:rPr>
        <w:t>Chez la femme enceinte, l’immense majorité des médicaments est  déconseillée notamment les anti-inflammatoires comme</w:t>
      </w:r>
      <w:r>
        <w:rPr>
          <w:color w:val="231F20"/>
          <w:spacing w:val="1"/>
        </w:rPr>
        <w:t> </w:t>
      </w:r>
      <w:r>
        <w:rPr>
          <w:color w:val="231F20"/>
        </w:rPr>
        <w:t>l’ibuprofène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spacing w:before="111"/>
        <w:ind w:left="4684" w:right="4436" w:firstLine="0"/>
        <w:jc w:val="center"/>
        <w:rPr>
          <w:rFonts w:ascii="Times New Roman"/>
          <w:sz w:val="18"/>
        </w:rPr>
      </w:pPr>
      <w:r>
        <w:rPr>
          <w:rFonts w:ascii="Times New Roman"/>
          <w:color w:val="231F20"/>
          <w:sz w:val="18"/>
        </w:rPr>
        <w:t>69</w:t>
      </w:r>
    </w:p>
    <w:sectPr>
      <w:type w:val="continuous"/>
      <w:pgSz w:w="11900" w:h="16840"/>
      <w:pgMar w:top="1600" w:bottom="28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61" w:hanging="318"/>
      </w:pPr>
      <w:rPr>
        <w:rFonts w:hint="default" w:ascii="Calibri" w:hAnsi="Calibri" w:eastAsia="Calibri" w:cs="Calibri"/>
        <w:color w:val="231F20"/>
        <w:w w:val="61"/>
        <w:sz w:val="20"/>
        <w:szCs w:val="20"/>
      </w:rPr>
    </w:lvl>
    <w:lvl w:ilvl="1">
      <w:start w:val="0"/>
      <w:numFmt w:val="bullet"/>
      <w:lvlText w:val="•"/>
      <w:lvlJc w:val="left"/>
      <w:pPr>
        <w:ind w:left="1888" w:hanging="318"/>
      </w:pPr>
      <w:rPr>
        <w:rFonts w:hint="default"/>
      </w:rPr>
    </w:lvl>
    <w:lvl w:ilvl="2">
      <w:start w:val="0"/>
      <w:numFmt w:val="bullet"/>
      <w:lvlText w:val="•"/>
      <w:lvlJc w:val="left"/>
      <w:pPr>
        <w:ind w:left="2716" w:hanging="318"/>
      </w:pPr>
      <w:rPr>
        <w:rFonts w:hint="default"/>
      </w:rPr>
    </w:lvl>
    <w:lvl w:ilvl="3">
      <w:start w:val="0"/>
      <w:numFmt w:val="bullet"/>
      <w:lvlText w:val="•"/>
      <w:lvlJc w:val="left"/>
      <w:pPr>
        <w:ind w:left="3544" w:hanging="318"/>
      </w:pPr>
      <w:rPr>
        <w:rFonts w:hint="default"/>
      </w:rPr>
    </w:lvl>
    <w:lvl w:ilvl="4">
      <w:start w:val="0"/>
      <w:numFmt w:val="bullet"/>
      <w:lvlText w:val="•"/>
      <w:lvlJc w:val="left"/>
      <w:pPr>
        <w:ind w:left="4372" w:hanging="318"/>
      </w:pPr>
      <w:rPr>
        <w:rFonts w:hint="default"/>
      </w:rPr>
    </w:lvl>
    <w:lvl w:ilvl="5">
      <w:start w:val="0"/>
      <w:numFmt w:val="bullet"/>
      <w:lvlText w:val="•"/>
      <w:lvlJc w:val="left"/>
      <w:pPr>
        <w:ind w:left="5200" w:hanging="318"/>
      </w:pPr>
      <w:rPr>
        <w:rFonts w:hint="default"/>
      </w:rPr>
    </w:lvl>
    <w:lvl w:ilvl="6">
      <w:start w:val="0"/>
      <w:numFmt w:val="bullet"/>
      <w:lvlText w:val="•"/>
      <w:lvlJc w:val="left"/>
      <w:pPr>
        <w:ind w:left="6028" w:hanging="318"/>
      </w:pPr>
      <w:rPr>
        <w:rFonts w:hint="default"/>
      </w:rPr>
    </w:lvl>
    <w:lvl w:ilvl="7">
      <w:start w:val="0"/>
      <w:numFmt w:val="bullet"/>
      <w:lvlText w:val="•"/>
      <w:lvlJc w:val="left"/>
      <w:pPr>
        <w:ind w:left="6856" w:hanging="318"/>
      </w:pPr>
      <w:rPr>
        <w:rFonts w:hint="default"/>
      </w:rPr>
    </w:lvl>
    <w:lvl w:ilvl="8">
      <w:start w:val="0"/>
      <w:numFmt w:val="bullet"/>
      <w:lvlText w:val="•"/>
      <w:lvlJc w:val="left"/>
      <w:pPr>
        <w:ind w:left="7684" w:hanging="318"/>
      </w:pPr>
      <w:rPr>
        <w:rFonts w:hint="default"/>
      </w:rPr>
    </w:lvl>
  </w:abstractNum>
  <w:abstractNum w:abstractNumId="0">
    <w:multiLevelType w:val="hybridMultilevel"/>
    <w:lvl w:ilvl="0">
      <w:start w:val="1"/>
      <w:numFmt w:val="decimal"/>
      <w:lvlText w:val="%1."/>
      <w:lvlJc w:val="left"/>
      <w:pPr>
        <w:ind w:left="1049" w:hanging="318"/>
        <w:jc w:val="left"/>
      </w:pPr>
      <w:rPr>
        <w:rFonts w:hint="default" w:ascii="Arial" w:hAnsi="Arial" w:eastAsia="Arial" w:cs="Arial"/>
        <w:b/>
        <w:bCs/>
        <w:color w:val="231F20"/>
        <w:spacing w:val="-1"/>
        <w:w w:val="101"/>
        <w:sz w:val="20"/>
        <w:szCs w:val="20"/>
      </w:rPr>
    </w:lvl>
    <w:lvl w:ilvl="1">
      <w:start w:val="0"/>
      <w:numFmt w:val="bullet"/>
      <w:lvlText w:val="•"/>
      <w:lvlJc w:val="left"/>
      <w:pPr>
        <w:ind w:left="1870" w:hanging="318"/>
      </w:pPr>
      <w:rPr>
        <w:rFonts w:hint="default"/>
      </w:rPr>
    </w:lvl>
    <w:lvl w:ilvl="2">
      <w:start w:val="0"/>
      <w:numFmt w:val="bullet"/>
      <w:lvlText w:val="•"/>
      <w:lvlJc w:val="left"/>
      <w:pPr>
        <w:ind w:left="2700" w:hanging="318"/>
      </w:pPr>
      <w:rPr>
        <w:rFonts w:hint="default"/>
      </w:rPr>
    </w:lvl>
    <w:lvl w:ilvl="3">
      <w:start w:val="0"/>
      <w:numFmt w:val="bullet"/>
      <w:lvlText w:val="•"/>
      <w:lvlJc w:val="left"/>
      <w:pPr>
        <w:ind w:left="3530" w:hanging="318"/>
      </w:pPr>
      <w:rPr>
        <w:rFonts w:hint="default"/>
      </w:rPr>
    </w:lvl>
    <w:lvl w:ilvl="4">
      <w:start w:val="0"/>
      <w:numFmt w:val="bullet"/>
      <w:lvlText w:val="•"/>
      <w:lvlJc w:val="left"/>
      <w:pPr>
        <w:ind w:left="4360" w:hanging="318"/>
      </w:pPr>
      <w:rPr>
        <w:rFonts w:hint="default"/>
      </w:rPr>
    </w:lvl>
    <w:lvl w:ilvl="5">
      <w:start w:val="0"/>
      <w:numFmt w:val="bullet"/>
      <w:lvlText w:val="•"/>
      <w:lvlJc w:val="left"/>
      <w:pPr>
        <w:ind w:left="5190" w:hanging="318"/>
      </w:pPr>
      <w:rPr>
        <w:rFonts w:hint="default"/>
      </w:rPr>
    </w:lvl>
    <w:lvl w:ilvl="6">
      <w:start w:val="0"/>
      <w:numFmt w:val="bullet"/>
      <w:lvlText w:val="•"/>
      <w:lvlJc w:val="left"/>
      <w:pPr>
        <w:ind w:left="6020" w:hanging="318"/>
      </w:pPr>
      <w:rPr>
        <w:rFonts w:hint="default"/>
      </w:rPr>
    </w:lvl>
    <w:lvl w:ilvl="7">
      <w:start w:val="0"/>
      <w:numFmt w:val="bullet"/>
      <w:lvlText w:val="•"/>
      <w:lvlJc w:val="left"/>
      <w:pPr>
        <w:ind w:left="6850" w:hanging="318"/>
      </w:pPr>
      <w:rPr>
        <w:rFonts w:hint="default"/>
      </w:rPr>
    </w:lvl>
    <w:lvl w:ilvl="8">
      <w:start w:val="0"/>
      <w:numFmt w:val="bullet"/>
      <w:lvlText w:val="•"/>
      <w:lvlJc w:val="left"/>
      <w:pPr>
        <w:ind w:left="7680" w:hanging="3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049" w:hanging="318"/>
      <w:outlineLvl w:val="1"/>
    </w:pPr>
    <w:rPr>
      <w:rFonts w:ascii="Arial" w:hAnsi="Arial" w:eastAsia="Arial" w:cs="Arial"/>
      <w:b/>
      <w:bCs/>
      <w:sz w:val="20"/>
      <w:szCs w:val="20"/>
    </w:rPr>
  </w:style>
  <w:style w:styleId="ListParagraph" w:type="paragraph">
    <w:name w:val="List Paragraph"/>
    <w:basedOn w:val="Normal"/>
    <w:uiPriority w:val="1"/>
    <w:qFormat/>
    <w:pPr>
      <w:ind w:left="1049" w:hanging="31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2020-02-25T15:27:51Z</dcterms:created>
  <dcterms:modified xsi:type="dcterms:W3CDTF">2020-02-25T15:27:51Z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