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2761"/>
          <w:sz w:val="52"/>
          <w:szCs w:val="52"/>
        </w:rPr>
        <w:t xml:space="preserve">TIC SaaS Platform</w:t>
      </w:r>
    </w:p>
    <w:p>
      <w:pPr>
        <w:spacing w:after="120"/>
        <w:jc w:val="center"/>
      </w:pPr>
      <w:r>
        <w:rPr>
          <w:rFonts w:ascii="Arial" w:cs="Arial" w:eastAsia="Arial" w:hAnsi="Arial"/>
          <w:color w:val="2E86AB"/>
          <w:sz w:val="40"/>
          <w:szCs w:val="40"/>
        </w:rPr>
        <w:t xml:space="preserve">Competitive Intelligence Brief</w:t>
      </w:r>
    </w:p>
    <w:p>
      <w:pPr>
        <w:spacing w:after="600"/>
        <w:jc w:val="center"/>
      </w:pPr>
      <w:r>
        <w:rPr>
          <w:rFonts w:ascii="Arial" w:cs="Arial" w:eastAsia="Arial" w:hAnsi="Arial"/>
          <w:color w:val="666666"/>
          <w:sz w:val="24"/>
          <w:szCs w:val="24"/>
        </w:rPr>
        <w:t xml:space="preserve">February 2026  |  Prepared for CARLOS Executive Team</w:t>
      </w:r>
    </w:p>
    <w:p>
      <w:pPr>
        <w:spacing w:after="200"/>
        <w:jc w:val="center"/>
      </w:pPr>
      <w:r>
        <w:rPr>
          <w:rFonts w:ascii="Arial" w:cs="Arial" w:eastAsia="Arial" w:hAnsi="Arial"/>
          <w:b/>
          <w:bCs/>
          <w:color w:val="8B0000"/>
          <w:sz w:val="22"/>
          <w:szCs w:val="22"/>
        </w:rPr>
        <w:t xml:space="preserve">INTERNAL — CONFIDENTIAL</w:t>
      </w:r>
    </w:p>
    <w:p>
      <w:pPr>
        <w:spacing w:after="200"/>
        <w:jc w:val="center"/>
      </w:pPr>
      <w:r>
        <w:rPr>
          <w:rFonts w:ascii="Arial" w:cs="Arial" w:eastAsia="Arial" w:hAnsi="Arial"/>
          <w:color w:val="888888"/>
          <w:sz w:val="20"/>
          <w:szCs w:val="20"/>
        </w:rPr>
        <w:t xml:space="preserve">Based on 24 cited sources | Covers Inspectorio, TradeBeyond/Pivot88, QIMA</w:t>
      </w:r>
    </w:p>
    <w:p>
      <w:r>
        <w:br w:type="page"/>
      </w:r>
    </w:p>
    <w:p>
      <w:pPr>
        <w:pStyle w:val="Heading1"/>
        <w:spacing w:before="360" w:after="120"/>
      </w:pPr>
      <w:r>
        <w:rPr>
          <w:rFonts w:ascii="Arial" w:cs="Arial" w:eastAsia="Arial" w:hAnsi="Arial"/>
          <w:b/>
          <w:bCs/>
          <w:color w:val="1E2761"/>
          <w:sz w:val="36"/>
          <w:szCs w:val="36"/>
        </w:rPr>
        <w:t xml:space="preserve">1. Executive Summary</w:t>
      </w:r>
    </w:p>
    <w:p>
      <w:pPr>
        <w:spacing w:after="120"/>
        <w:jc w:val="both"/>
      </w:pPr>
      <w:r>
        <w:rPr>
          <w:rFonts w:ascii="Arial" w:cs="Arial" w:eastAsia="Arial" w:hAnsi="Arial"/>
          <w:b w:val="false"/>
          <w:bCs w:val="false"/>
          <w:i w:val="false"/>
          <w:iCs w:val="false"/>
          <w:color w:val="333333"/>
          <w:sz w:val="22"/>
          <w:szCs w:val="22"/>
        </w:rPr>
        <w:t xml:space="preserve">The TIC (Testing, Inspection, Certification) SaaS platform market is undergoing a rapid transformation driven by three converging forces: the proliferation of AI-native capabilities across supply chain platforms, the approaching EU Digital Product Passport (DPP) mandate for 2027, and growing enterprise demand for reasoning transparency rather than black-box risk scores. This brief analyses the three platforms most likely to appear in competitive evaluations alongside CARLOS: Inspectorio, TradeBeyond (including Pivot88), and QIMA.</w:t>
      </w:r>
    </w:p>
    <w:p>
      <w:pPr>
        <w:spacing w:after="120"/>
        <w:jc w:val="both"/>
      </w:pPr>
      <w:r>
        <w:rPr>
          <w:rFonts w:ascii="Arial" w:cs="Arial" w:eastAsia="Arial" w:hAnsi="Arial"/>
          <w:b w:val="false"/>
          <w:bCs w:val="false"/>
          <w:i w:val="false"/>
          <w:iCs w:val="false"/>
          <w:color w:val="333333"/>
          <w:sz w:val="22"/>
          <w:szCs w:val="22"/>
        </w:rPr>
        <w:t xml:space="preserve">Inspectorio is the strongest direct competitor on AI depth. Their Paramo AI platform, launched in late 2025, provides cited recommendations with source-document references, autonomous workflow agents, and conversational NLP queries. They hold the strongest explicit DPP positioning in the market, with dedicated content claiming global brands are already building digital product passports on their platform. However, Inspectorio is a pure SaaS provider with no field inspection capability, and their explainability stops at citation-level transparency without full reasoning chains, confidence ranges, or downstream impact analysis.</w:t>
      </w:r>
    </w:p>
    <w:p>
      <w:pPr>
        <w:spacing w:after="120"/>
        <w:jc w:val="both"/>
      </w:pPr>
      <w:r>
        <w:rPr>
          <w:rFonts w:ascii="Arial" w:cs="Arial" w:eastAsia="Arial" w:hAnsi="Arial"/>
          <w:b w:val="false"/>
          <w:bCs w:val="false"/>
          <w:i w:val="false"/>
          <w:iCs w:val="false"/>
          <w:color w:val="333333"/>
          <w:sz w:val="22"/>
          <w:szCs w:val="22"/>
        </w:rPr>
        <w:t xml:space="preserve">TradeBeyond offers the broadest end-to-end supply chain coverage post-acquisition of Pivot88, spanning PLM through ESG compliance. Their AI is focused on risk-based inspection prioritisation through PO Line Risk Rating and AI Chain of Custody for regulatory compliance. QIMA represents a fundamentally different business model as a TIC services company with a digital overlay, leveraging 2,500+ owned inspectors across 95+ countries. Their AI is operational (report summaries, Risk Radar) rather than strategic. CARLOS occupies a unique position combining strategic AI depth with TIC domain expertise — no other platform in this analysis offers the combination of full reasoning chains, confidence ranges, multi-framework simultaneous validation, scenario simulation, and downstream impact visualisation.</w:t>
      </w:r>
    </w:p>
    <w:p>
      <w:r>
        <w:br w:type="page"/>
      </w:r>
    </w:p>
    <w:p>
      <w:pPr>
        <w:pStyle w:val="Heading1"/>
        <w:spacing w:before="360" w:after="120"/>
      </w:pPr>
      <w:r>
        <w:rPr>
          <w:rFonts w:ascii="Arial" w:cs="Arial" w:eastAsia="Arial" w:hAnsi="Arial"/>
          <w:b/>
          <w:bCs/>
          <w:color w:val="1E2761"/>
          <w:sz w:val="36"/>
          <w:szCs w:val="36"/>
        </w:rPr>
        <w:t xml:space="preserve">2. Market Landscape</w:t>
      </w:r>
    </w:p>
    <w:p>
      <w:pPr>
        <w:spacing w:after="120"/>
        <w:jc w:val="both"/>
      </w:pPr>
      <w:r>
        <w:rPr>
          <w:rFonts w:ascii="Arial" w:cs="Arial" w:eastAsia="Arial" w:hAnsi="Arial"/>
          <w:b w:val="false"/>
          <w:bCs w:val="false"/>
          <w:i w:val="false"/>
          <w:iCs w:val="false"/>
          <w:color w:val="333333"/>
          <w:sz w:val="22"/>
          <w:szCs w:val="22"/>
        </w:rPr>
        <w:t xml:space="preserve">The competitive landscape can be mapped across two critical axes: AI Depth (ranging from operational task automation to strategic reasoning transparency) and Field Capability (ranging from pure digital platforms to companies with owned inspection and testing infrastructure). This produces four distinct quadrants: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3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Field Capability</w:t>
            </w:r>
          </w:p>
        </w:tc>
        <w:tc>
          <w:tcPr>
            <w:tcW w:type="dxa" w:w="3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Field Capability</w:t>
            </w:r>
          </w:p>
        </w:tc>
      </w:tr>
      <w:tr>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AI Depth</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CARLOS
AI-Native TIC Platform
Inspectorio
AI Supply Chain Platform</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(Unoccupied)
Strategic AI + Field Presence
Future opportunity for CARLOS with SGS integration</w:t>
            </w:r>
          </w:p>
        </w:tc>
      </w:tr>
      <w:tr>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AI Depth</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TradeBeyond / Pivot88
End-to-End Supply Chain Suite
Workflow-focused AI</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
Digital-Enhanced TIC Services
2,500+ owned inspectors</w:t>
            </w:r>
          </w:p>
        </w:tc>
      </w:tr>
    </w:tbl>
    <w:p>
      <w:pPr>
        <w:spacing w:after="120"/>
      </w:pPr>
    </w:p>
    <w:p>
      <w:pPr>
        <w:spacing w:after="120"/>
        <w:jc w:val="both"/>
      </w:pPr>
      <w:r>
        <w:rPr>
          <w:rFonts w:ascii="Arial" w:cs="Arial" w:eastAsia="Arial" w:hAnsi="Arial"/>
          <w:b w:val="false"/>
          <w:bCs w:val="false"/>
          <w:i/>
          <w:iCs/>
          <w:color w:val="333333"/>
          <w:sz w:val="22"/>
          <w:szCs w:val="22"/>
        </w:rPr>
        <w:t xml:space="preserve">CARLOS occupies the upper-left quadrant alongside Inspectorio, but differentiates on depth: full reasoning chains vs. citations, confidence ranges vs. point estimates, multi-framework simultaneous validation vs. single-framework tracking. The upper-right quadrant (strategic AI + field presence) remains unoccupied and represents CARLOS’s natural expansion path through SGS’s global inspection network.</w:t>
      </w:r>
    </w:p>
    <w:p>
      <w:r>
        <w:br w:type="page"/>
      </w:r>
    </w:p>
    <w:p>
      <w:pPr>
        <w:pStyle w:val="Heading1"/>
        <w:spacing w:before="360" w:after="120"/>
      </w:pPr>
      <w:r>
        <w:rPr>
          <w:rFonts w:ascii="Arial" w:cs="Arial" w:eastAsia="Arial" w:hAnsi="Arial"/>
          <w:b/>
          <w:bCs/>
          <w:color w:val="1E2761"/>
          <w:sz w:val="36"/>
          <w:szCs w:val="36"/>
        </w:rPr>
        <w:t xml:space="preserve">3. Competitor Deep Dives</w:t>
      </w:r>
    </w:p>
    <w:p>
      <w:pPr>
        <w:pStyle w:val="Heading2"/>
        <w:spacing w:before="240" w:after="120"/>
      </w:pPr>
      <w:r>
        <w:rPr>
          <w:rFonts w:ascii="Arial" w:cs="Arial" w:eastAsia="Arial" w:hAnsi="Arial"/>
          <w:b/>
          <w:bCs/>
          <w:color w:val="1E2761"/>
          <w:sz w:val="28"/>
          <w:szCs w:val="28"/>
        </w:rPr>
        <w:t xml:space="preserve">3.1 Inspectorio</w:t>
      </w:r>
    </w:p>
    <w:p>
      <w:pPr>
        <w:spacing w:after="120"/>
        <w:jc w:val="both"/>
      </w:pPr>
      <w:r>
        <w:rPr>
          <w:rFonts w:ascii="Arial" w:cs="Arial" w:eastAsia="Arial" w:hAnsi="Arial"/>
          <w:b/>
          <w:bCs/>
          <w:color w:val="333333"/>
          <w:sz w:val="22"/>
          <w:szCs w:val="22"/>
        </w:rPr>
        <w:t xml:space="preserve">Positioning: </w:t>
      </w:r>
      <w:r>
        <w:rPr>
          <w:rFonts w:ascii="Arial" w:cs="Arial" w:eastAsia="Arial" w:hAnsi="Arial"/>
          <w:color w:val="333333"/>
          <w:sz w:val="22"/>
          <w:szCs w:val="22"/>
        </w:rPr>
        <w:t xml:space="preserve">AI-powered supply chain platform for quality, compliance, sustainability, and traceability. Pure SaaS — no field inspectors.</w:t>
      </w:r>
    </w:p>
    <w:p>
      <w:pPr>
        <w:spacing w:after="120"/>
        <w:jc w:val="both"/>
      </w:pPr>
      <w:r>
        <w:rPr>
          <w:rFonts w:ascii="Arial" w:cs="Arial" w:eastAsia="Arial" w:hAnsi="Arial"/>
          <w:b/>
          <w:bCs/>
          <w:color w:val="333333"/>
          <w:sz w:val="22"/>
          <w:szCs w:val="22"/>
        </w:rPr>
        <w:t xml:space="preserve">Scale: </w:t>
      </w:r>
      <w:r>
        <w:rPr>
          <w:rFonts w:ascii="Arial" w:cs="Arial" w:eastAsia="Arial" w:hAnsi="Arial"/>
          <w:color w:val="333333"/>
          <w:sz w:val="22"/>
          <w:szCs w:val="22"/>
        </w:rPr>
        <w:t xml:space="preserve">$340B customer revenue powered; 15,000+ suppliers on network. Key customers include Target and major apparel, hardlines, and grocery retailers.</w:t>
      </w:r>
    </w:p>
    <w:p>
      <w:pPr>
        <w:pStyle w:val="Heading3"/>
        <w:spacing w:before="240" w:after="120"/>
      </w:pPr>
      <w:r>
        <w:rPr>
          <w:rFonts w:ascii="Arial" w:cs="Arial" w:eastAsia="Arial" w:hAnsi="Arial"/>
          <w:b/>
          <w:bCs/>
          <w:color w:val="1E2761"/>
          <w:sz w:val="24"/>
          <w:szCs w:val="24"/>
        </w:rPr>
        <w:t xml:space="preserve">Latest Product Launches</w:t>
      </w:r>
    </w:p>
    <w:p>
      <w:pPr>
        <w:pStyle w:val="ListParagraph"/>
        <w:numPr>
          <w:ilvl w:val="0"/>
          <w:numId w:val="2"/>
        </w:numPr>
        <w:spacing w:after="60"/>
      </w:pPr>
      <w:r>
        <w:rPr>
          <w:rFonts w:ascii="Arial" w:cs="Arial" w:eastAsia="Arial" w:hAnsi="Arial"/>
          <w:b/>
          <w:bCs/>
          <w:color w:val="333333"/>
          <w:sz w:val="22"/>
          <w:szCs w:val="22"/>
        </w:rPr>
        <w:t xml:space="preserve">Supply Chain Network Intelligence (Jan 2026):</w:t>
      </w:r>
      <w:r>
        <w:rPr>
          <w:rFonts w:ascii="Arial" w:cs="Arial" w:eastAsia="Arial" w:hAnsi="Arial"/>
          <w:color w:val="333333"/>
          <w:sz w:val="22"/>
          <w:szCs w:val="22"/>
        </w:rPr>
        <w:t xml:space="preserve"> Unveiled at NRF 2026. Positioned as the retail industry’s first complete, real-time, AI-driven sourcing network. Three components: Network Profile (structured supplier/factory database), Network Insights (AI-driven risk and performance insights with industry benchmarks), and Sourcing Hub (supplier discovery with onboarding workflows).</w:t>
      </w:r>
    </w:p>
    <w:p>
      <w:pPr>
        <w:pStyle w:val="ListParagraph"/>
        <w:numPr>
          <w:ilvl w:val="0"/>
          <w:numId w:val="2"/>
        </w:numPr>
        <w:spacing w:after="60"/>
      </w:pPr>
      <w:r>
        <w:rPr>
          <w:rFonts w:ascii="Arial" w:cs="Arial" w:eastAsia="Arial" w:hAnsi="Arial"/>
          <w:b/>
          <w:bCs/>
          <w:color w:val="333333"/>
          <w:sz w:val="22"/>
          <w:szCs w:val="22"/>
        </w:rPr>
        <w:t xml:space="preserve">Paramo AI (Sep–Oct 2025):</w:t>
      </w:r>
      <w:r>
        <w:rPr>
          <w:rFonts w:ascii="Arial" w:cs="Arial" w:eastAsia="Arial" w:hAnsi="Arial"/>
          <w:color w:val="333333"/>
          <w:sz w:val="22"/>
          <w:szCs w:val="22"/>
        </w:rPr>
        <w:t xml:space="preserve"> Intelligence layer embedded natively across quality, risk, compliance, traceability, and lab testing. Three pillars: Data Gravity (unified retailer/supplier data), Intelligent Guidance (trained AI copilots providing cited recommendations), and Autonomous Agents (agentic AI for end-to-end workflow automation).</w:t>
      </w:r>
    </w:p>
    <w:p>
      <w:pPr>
        <w:pStyle w:val="Heading3"/>
        <w:spacing w:before="240" w:after="120"/>
      </w:pPr>
      <w:r>
        <w:rPr>
          <w:rFonts w:ascii="Arial" w:cs="Arial" w:eastAsia="Arial" w:hAnsi="Arial"/>
          <w:b/>
          <w:bCs/>
          <w:color w:val="1E2761"/>
          <w:sz w:val="24"/>
          <w:szCs w:val="24"/>
        </w:rPr>
        <w:t xml:space="preserve">AI Capabilities</w:t>
      </w:r>
    </w:p>
    <w:p>
      <w:pPr>
        <w:pStyle w:val="ListParagraph"/>
        <w:numPr>
          <w:ilvl w:val="0"/>
          <w:numId w:val="3"/>
        </w:numPr>
        <w:spacing w:after="60"/>
      </w:pPr>
      <w:r>
        <w:rPr>
          <w:rFonts w:ascii="Arial" w:cs="Arial" w:eastAsia="Arial" w:hAnsi="Arial"/>
          <w:color w:val="333333"/>
          <w:sz w:val="22"/>
          <w:szCs w:val="22"/>
        </w:rPr>
        <w:t xml:space="preserve">Cited/sourced recommendations with clear references to source documents</w:t>
      </w:r>
    </w:p>
    <w:p>
      <w:pPr>
        <w:pStyle w:val="ListParagraph"/>
        <w:numPr>
          <w:ilvl w:val="0"/>
          <w:numId w:val="3"/>
        </w:numPr>
        <w:spacing w:after="60"/>
      </w:pPr>
      <w:r>
        <w:rPr>
          <w:rFonts w:ascii="Arial" w:cs="Arial" w:eastAsia="Arial" w:hAnsi="Arial"/>
          <w:color w:val="333333"/>
          <w:sz w:val="22"/>
          <w:szCs w:val="22"/>
        </w:rPr>
        <w:t xml:space="preserve">NLP queries: users ask questions in plain language, receive cited answers, trigger workflows</w:t>
      </w:r>
    </w:p>
    <w:p>
      <w:pPr>
        <w:pStyle w:val="ListParagraph"/>
        <w:numPr>
          <w:ilvl w:val="0"/>
          <w:numId w:val="3"/>
        </w:numPr>
        <w:spacing w:after="60"/>
      </w:pPr>
      <w:r>
        <w:rPr>
          <w:rFonts w:ascii="Arial" w:cs="Arial" w:eastAsia="Arial" w:hAnsi="Arial"/>
          <w:color w:val="333333"/>
          <w:sz w:val="22"/>
          <w:szCs w:val="22"/>
        </w:rPr>
        <w:t xml:space="preserve">Autonomous agents for document processing with cross-referencing and risk identification</w:t>
      </w:r>
    </w:p>
    <w:p>
      <w:pPr>
        <w:pStyle w:val="ListParagraph"/>
        <w:numPr>
          <w:ilvl w:val="0"/>
          <w:numId w:val="3"/>
        </w:numPr>
        <w:spacing w:after="60"/>
      </w:pPr>
      <w:r>
        <w:rPr>
          <w:rFonts w:ascii="Arial" w:cs="Arial" w:eastAsia="Arial" w:hAnsi="Arial"/>
          <w:color w:val="333333"/>
          <w:sz w:val="22"/>
          <w:szCs w:val="22"/>
        </w:rPr>
        <w:t xml:space="preserve">Closest to genuine reasoning transparency in the TIC SaaS space</w:t>
      </w:r>
    </w:p>
    <w:p>
      <w:pPr>
        <w:pStyle w:val="Heading3"/>
        <w:spacing w:before="240" w:after="120"/>
      </w:pPr>
      <w:r>
        <w:rPr>
          <w:rFonts w:ascii="Arial" w:cs="Arial" w:eastAsia="Arial" w:hAnsi="Arial"/>
          <w:b/>
          <w:bCs/>
          <w:color w:val="1E2761"/>
          <w:sz w:val="24"/>
          <w:szCs w:val="24"/>
        </w:rPr>
        <w:t xml:space="preserve">EU DPP Readiness</w:t>
      </w:r>
    </w:p>
    <w:p>
      <w:pPr>
        <w:spacing w:after="120"/>
        <w:jc w:val="both"/>
      </w:pPr>
      <w:r>
        <w:rPr>
          <w:rFonts w:ascii="Arial" w:cs="Arial" w:eastAsia="Arial" w:hAnsi="Arial"/>
          <w:b w:val="false"/>
          <w:bCs w:val="false"/>
          <w:i w:val="false"/>
          <w:iCs w:val="false"/>
          <w:color w:val="333333"/>
          <w:sz w:val="22"/>
          <w:szCs w:val="22"/>
        </w:rPr>
        <w:t xml:space="preserve">Strongest explicit DPP positioning in the market. Published dedicated DPP content claiming “leading global brands are already using Inspectorio to build digital product passports.” Offers end-to-end traceability, unified data hub, automated supplier engagement, and compliance intelligence for DPP. Hosted webinars on DPP data requirements and implementation.</w:t>
      </w:r>
    </w:p>
    <w:p>
      <w:pPr>
        <w:pStyle w:val="Heading3"/>
        <w:spacing w:before="240" w:after="120"/>
      </w:pPr>
      <w:r>
        <w:rPr>
          <w:rFonts w:ascii="Arial" w:cs="Arial" w:eastAsia="Arial" w:hAnsi="Arial"/>
          <w:b/>
          <w:bCs/>
          <w:color w:val="1E2761"/>
          <w:sz w:val="24"/>
          <w:szCs w:val="24"/>
        </w:rPr>
        <w:t xml:space="preserve">Pricing Model</w:t>
      </w:r>
    </w:p>
    <w:p>
      <w:pPr>
        <w:spacing w:after="120"/>
        <w:jc w:val="both"/>
      </w:pPr>
      <w:r>
        <w:rPr>
          <w:rFonts w:ascii="Arial" w:cs="Arial" w:eastAsia="Arial" w:hAnsi="Arial"/>
          <w:b w:val="false"/>
          <w:bCs w:val="false"/>
          <w:i w:val="false"/>
          <w:iCs w:val="false"/>
          <w:color w:val="333333"/>
          <w:sz w:val="22"/>
          <w:szCs w:val="22"/>
        </w:rPr>
        <w:t xml:space="preserve">Subscription-based, customised per organisation. No public pricing; varies by implementation complexity, deployment scale, and additional services.</w:t>
      </w:r>
    </w:p>
    <w:p>
      <w:pPr>
        <w:pStyle w:val="Heading3"/>
        <w:spacing w:before="240" w:after="120"/>
      </w:pPr>
      <w:r>
        <w:rPr>
          <w:rFonts w:ascii="Arial" w:cs="Arial" w:eastAsia="Arial" w:hAnsi="Arial"/>
          <w:b/>
          <w:bCs/>
          <w:color w:val="1E2761"/>
          <w:sz w:val="24"/>
          <w:szCs w:val="24"/>
        </w:rPr>
        <w:t xml:space="preserve">Where They Fall Short (CARLOS Advantage)</w:t>
      </w:r>
    </w:p>
    <w:p>
      <w:pPr>
        <w:pStyle w:val="ListParagraph"/>
        <w:numPr>
          <w:ilvl w:val="0"/>
          <w:numId w:val="4"/>
        </w:numPr>
        <w:spacing w:after="60"/>
      </w:pPr>
      <w:r>
        <w:rPr>
          <w:rFonts w:ascii="Arial" w:cs="Arial" w:eastAsia="Arial" w:hAnsi="Arial"/>
          <w:color w:val="333333"/>
          <w:sz w:val="22"/>
          <w:szCs w:val="22"/>
        </w:rPr>
        <w:t xml:space="preserve">No full reasoning chains — cites sources but does not show WHY a recommendation was made</w:t>
      </w:r>
    </w:p>
    <w:p>
      <w:pPr>
        <w:pStyle w:val="ListParagraph"/>
        <w:numPr>
          <w:ilvl w:val="0"/>
          <w:numId w:val="4"/>
        </w:numPr>
        <w:spacing w:after="60"/>
      </w:pPr>
      <w:r>
        <w:rPr>
          <w:rFonts w:ascii="Arial" w:cs="Arial" w:eastAsia="Arial" w:hAnsi="Arial"/>
          <w:color w:val="333333"/>
          <w:sz w:val="22"/>
          <w:szCs w:val="22"/>
        </w:rPr>
        <w:t xml:space="preserve">No confidence ranges — point estimates, not probability distributions</w:t>
      </w:r>
    </w:p>
    <w:p>
      <w:pPr>
        <w:pStyle w:val="ListParagraph"/>
        <w:numPr>
          <w:ilvl w:val="0"/>
          <w:numId w:val="4"/>
        </w:numPr>
        <w:spacing w:after="60"/>
      </w:pPr>
      <w:r>
        <w:rPr>
          <w:rFonts w:ascii="Arial" w:cs="Arial" w:eastAsia="Arial" w:hAnsi="Arial"/>
          <w:color w:val="333333"/>
          <w:sz w:val="22"/>
          <w:szCs w:val="22"/>
        </w:rPr>
        <w:t xml:space="preserve">No downstream impact visualisation — cannot trace how a change propagates</w:t>
      </w:r>
    </w:p>
    <w:p>
      <w:pPr>
        <w:pStyle w:val="ListParagraph"/>
        <w:numPr>
          <w:ilvl w:val="0"/>
          <w:numId w:val="4"/>
        </w:numPr>
        <w:spacing w:after="60"/>
      </w:pPr>
      <w:r>
        <w:rPr>
          <w:rFonts w:ascii="Arial" w:cs="Arial" w:eastAsia="Arial" w:hAnsi="Arial"/>
          <w:color w:val="333333"/>
          <w:sz w:val="22"/>
          <w:szCs w:val="22"/>
        </w:rPr>
        <w:t xml:space="preserve">No scenario simulator — cannot model “what if” scenarios</w:t>
      </w:r>
    </w:p>
    <w:p>
      <w:pPr>
        <w:pStyle w:val="ListParagraph"/>
        <w:numPr>
          <w:ilvl w:val="0"/>
          <w:numId w:val="4"/>
        </w:numPr>
        <w:spacing w:after="60"/>
      </w:pPr>
      <w:r>
        <w:rPr>
          <w:rFonts w:ascii="Arial" w:cs="Arial" w:eastAsia="Arial" w:hAnsi="Arial"/>
          <w:color w:val="333333"/>
          <w:sz w:val="22"/>
          <w:szCs w:val="22"/>
        </w:rPr>
        <w:t xml:space="preserve">No care labelling AI, component N:M linking, or multi-framework simultaneous validation</w:t>
      </w:r>
    </w:p>
    <w:p>
      <w:pPr>
        <w:pStyle w:val="ListParagraph"/>
        <w:numPr>
          <w:ilvl w:val="0"/>
          <w:numId w:val="4"/>
        </w:numPr>
        <w:spacing w:after="60"/>
      </w:pPr>
      <w:r>
        <w:rPr>
          <w:rFonts w:ascii="Arial" w:cs="Arial" w:eastAsia="Arial" w:hAnsi="Arial"/>
          <w:color w:val="333333"/>
          <w:sz w:val="22"/>
          <w:szCs w:val="22"/>
        </w:rPr>
        <w:t xml:space="preserve">No field presence — depends entirely on third-party inspectors</w:t>
      </w:r>
    </w:p>
    <w:p>
      <w:pPr>
        <w:pStyle w:val="Heading3"/>
        <w:spacing w:before="240" w:after="120"/>
      </w:pPr>
      <w:r>
        <w:rPr>
          <w:rFonts w:ascii="Arial" w:cs="Arial" w:eastAsia="Arial" w:hAnsi="Arial"/>
          <w:b/>
          <w:bCs/>
          <w:color w:val="1E2761"/>
          <w:sz w:val="24"/>
          <w:szCs w:val="24"/>
        </w:rPr>
        <w:t xml:space="preserve">Win Themes</w:t>
      </w:r>
    </w:p>
    <w:p>
      <w:pPr>
        <w:pStyle w:val="ListParagraph"/>
        <w:numPr>
          <w:ilvl w:val="0"/>
          <w:numId w:val="5"/>
        </w:numPr>
        <w:spacing w:after="60"/>
      </w:pPr>
      <w:r>
        <w:rPr>
          <w:rFonts w:ascii="Arial" w:cs="Arial" w:eastAsia="Arial" w:hAnsi="Arial"/>
          <w:color w:val="333333"/>
          <w:sz w:val="22"/>
          <w:szCs w:val="22"/>
        </w:rPr>
        <w:t xml:space="preserve">“They cite sources. We show the full reasoning chain.”</w:t>
      </w:r>
    </w:p>
    <w:p>
      <w:pPr>
        <w:pStyle w:val="ListParagraph"/>
        <w:numPr>
          <w:ilvl w:val="0"/>
          <w:numId w:val="5"/>
        </w:numPr>
        <w:spacing w:after="60"/>
      </w:pPr>
      <w:r>
        <w:rPr>
          <w:rFonts w:ascii="Arial" w:cs="Arial" w:eastAsia="Arial" w:hAnsi="Arial"/>
          <w:color w:val="333333"/>
          <w:sz w:val="22"/>
          <w:szCs w:val="22"/>
        </w:rPr>
        <w:t xml:space="preserve">“Their AI tells you WHAT. Ours tells you WHY and WHAT HAPPENS NEXT.”</w:t>
      </w:r>
    </w:p>
    <w:p>
      <w:pPr>
        <w:pStyle w:val="ListParagraph"/>
        <w:numPr>
          <w:ilvl w:val="0"/>
          <w:numId w:val="5"/>
        </w:numPr>
        <w:spacing w:after="60"/>
      </w:pPr>
      <w:r>
        <w:rPr>
          <w:rFonts w:ascii="Arial" w:cs="Arial" w:eastAsia="Arial" w:hAnsi="Arial"/>
          <w:color w:val="333333"/>
          <w:sz w:val="22"/>
          <w:szCs w:val="22"/>
        </w:rPr>
        <w:t xml:space="preserve">“They track compliance frameworks one at a time. We validate across bluesign, OEKO-TEX, and ZDHC simultaneously.”</w:t>
      </w:r>
    </w:p>
    <w:p>
      <w:r>
        <w:br w:type="page"/>
      </w:r>
    </w:p>
    <w:p>
      <w:pPr>
        <w:pStyle w:val="Heading2"/>
        <w:spacing w:before="240" w:after="120"/>
      </w:pPr>
      <w:r>
        <w:rPr>
          <w:rFonts w:ascii="Arial" w:cs="Arial" w:eastAsia="Arial" w:hAnsi="Arial"/>
          <w:b/>
          <w:bCs/>
          <w:color w:val="1E2761"/>
          <w:sz w:val="28"/>
          <w:szCs w:val="28"/>
        </w:rPr>
        <w:t xml:space="preserve">3.2 TradeBeyond / Pivot88</w:t>
      </w:r>
    </w:p>
    <w:p>
      <w:pPr>
        <w:spacing w:after="120"/>
        <w:jc w:val="both"/>
      </w:pPr>
      <w:r>
        <w:rPr>
          <w:rFonts w:ascii="Arial" w:cs="Arial" w:eastAsia="Arial" w:hAnsi="Arial"/>
          <w:b/>
          <w:bCs/>
          <w:color w:val="333333"/>
          <w:sz w:val="22"/>
          <w:szCs w:val="22"/>
        </w:rPr>
        <w:t xml:space="preserve">Positioning: </w:t>
      </w:r>
      <w:r>
        <w:rPr>
          <w:rFonts w:ascii="Arial" w:cs="Arial" w:eastAsia="Arial" w:hAnsi="Arial"/>
          <w:color w:val="333333"/>
          <w:sz w:val="22"/>
          <w:szCs w:val="22"/>
        </w:rPr>
        <w:t xml:space="preserve">End-to-end supply chain and sourcing platform spanning PLM, sourcing, orders, quality, and ESG compliance. Pure SaaS — no field inspectors.</w:t>
      </w:r>
    </w:p>
    <w:p>
      <w:pPr>
        <w:spacing w:after="120"/>
        <w:jc w:val="both"/>
      </w:pPr>
      <w:r>
        <w:rPr>
          <w:rFonts w:ascii="Arial" w:cs="Arial" w:eastAsia="Arial" w:hAnsi="Arial"/>
          <w:b/>
          <w:bCs/>
          <w:color w:val="333333"/>
          <w:sz w:val="22"/>
          <w:szCs w:val="22"/>
        </w:rPr>
        <w:t xml:space="preserve">Scale: </w:t>
      </w:r>
      <w:r>
        <w:rPr>
          <w:rFonts w:ascii="Arial" w:cs="Arial" w:eastAsia="Arial" w:hAnsi="Arial"/>
          <w:color w:val="333333"/>
          <w:sz w:val="22"/>
          <w:szCs w:val="22"/>
        </w:rPr>
        <w:t xml:space="preserve">50,000+ supply chain partners in 112 countries. Key customers include Under Armour, Oakley, and Intersport.</w:t>
      </w:r>
    </w:p>
    <w:p>
      <w:pPr>
        <w:pStyle w:val="Heading3"/>
        <w:spacing w:before="240" w:after="120"/>
      </w:pPr>
      <w:r>
        <w:rPr>
          <w:rFonts w:ascii="Arial" w:cs="Arial" w:eastAsia="Arial" w:hAnsi="Arial"/>
          <w:b/>
          <w:bCs/>
          <w:color w:val="1E2761"/>
          <w:sz w:val="24"/>
          <w:szCs w:val="24"/>
        </w:rPr>
        <w:t xml:space="preserve">Latest Product Launches</w:t>
      </w:r>
    </w:p>
    <w:p>
      <w:pPr>
        <w:pStyle w:val="ListParagraph"/>
        <w:numPr>
          <w:ilvl w:val="0"/>
          <w:numId w:val="6"/>
        </w:numPr>
        <w:spacing w:after="60"/>
      </w:pPr>
      <w:r>
        <w:rPr>
          <w:rFonts w:ascii="Arial" w:cs="Arial" w:eastAsia="Arial" w:hAnsi="Arial"/>
          <w:b/>
          <w:bCs/>
          <w:color w:val="333333"/>
          <w:sz w:val="22"/>
          <w:szCs w:val="22"/>
        </w:rPr>
        <w:t xml:space="preserve">PO Line Risk Rating (2024):</w:t>
      </w:r>
      <w:r>
        <w:rPr>
          <w:rFonts w:ascii="Arial" w:cs="Arial" w:eastAsia="Arial" w:hAnsi="Arial"/>
          <w:color w:val="333333"/>
          <w:sz w:val="22"/>
          <w:szCs w:val="22"/>
        </w:rPr>
        <w:t xml:space="preserve"> ML algorithms assign percentage risk scores to each PO line based on product type, materials, country of origin, and historical quality data.</w:t>
      </w:r>
    </w:p>
    <w:p>
      <w:pPr>
        <w:pStyle w:val="ListParagraph"/>
        <w:numPr>
          <w:ilvl w:val="0"/>
          <w:numId w:val="6"/>
        </w:numPr>
        <w:spacing w:after="60"/>
      </w:pPr>
      <w:r>
        <w:rPr>
          <w:rFonts w:ascii="Arial" w:cs="Arial" w:eastAsia="Arial" w:hAnsi="Arial"/>
          <w:b/>
          <w:bCs/>
          <w:color w:val="333333"/>
          <w:sz w:val="22"/>
          <w:szCs w:val="22"/>
        </w:rPr>
        <w:t xml:space="preserve">AI Chain of Custody:</w:t>
      </w:r>
      <w:r>
        <w:rPr>
          <w:rFonts w:ascii="Arial" w:cs="Arial" w:eastAsia="Arial" w:hAnsi="Arial"/>
          <w:color w:val="333333"/>
          <w:sz w:val="22"/>
          <w:szCs w:val="22"/>
        </w:rPr>
        <w:t xml:space="preserve"> Automated document compiling and linking across shipments for UFLPA and EUDR compliance.</w:t>
      </w:r>
    </w:p>
    <w:p>
      <w:pPr>
        <w:pStyle w:val="ListParagraph"/>
        <w:numPr>
          <w:ilvl w:val="0"/>
          <w:numId w:val="6"/>
        </w:numPr>
        <w:spacing w:after="60"/>
      </w:pPr>
      <w:r>
        <w:rPr>
          <w:rFonts w:ascii="Arial" w:cs="Arial" w:eastAsia="Arial" w:hAnsi="Arial"/>
          <w:b/>
          <w:bCs/>
          <w:color w:val="333333"/>
          <w:sz w:val="22"/>
          <w:szCs w:val="22"/>
        </w:rPr>
        <w:t xml:space="preserve">AI-Powered Chatbot:</w:t>
      </w:r>
      <w:r>
        <w:rPr>
          <w:rFonts w:ascii="Arial" w:cs="Arial" w:eastAsia="Arial" w:hAnsi="Arial"/>
          <w:color w:val="333333"/>
          <w:sz w:val="22"/>
          <w:szCs w:val="22"/>
        </w:rPr>
        <w:t xml:space="preserve"> Real-time vendor guidance from training materials and policy documents.</w:t>
      </w:r>
    </w:p>
    <w:p>
      <w:pPr>
        <w:pStyle w:val="Heading3"/>
        <w:spacing w:before="240" w:after="120"/>
      </w:pPr>
      <w:r>
        <w:rPr>
          <w:rFonts w:ascii="Arial" w:cs="Arial" w:eastAsia="Arial" w:hAnsi="Arial"/>
          <w:b/>
          <w:bCs/>
          <w:color w:val="1E2761"/>
          <w:sz w:val="24"/>
          <w:szCs w:val="24"/>
        </w:rPr>
        <w:t xml:space="preserve">AI Capabilities</w:t>
      </w:r>
    </w:p>
    <w:p>
      <w:pPr>
        <w:pStyle w:val="ListParagraph"/>
        <w:numPr>
          <w:ilvl w:val="0"/>
          <w:numId w:val="7"/>
        </w:numPr>
        <w:spacing w:after="60"/>
      </w:pPr>
      <w:r>
        <w:rPr>
          <w:rFonts w:ascii="Arial" w:cs="Arial" w:eastAsia="Arial" w:hAnsi="Arial"/>
          <w:color w:val="333333"/>
          <w:sz w:val="22"/>
          <w:szCs w:val="22"/>
        </w:rPr>
        <w:t xml:space="preserve">PO Risk Rating displays key attributes contributing to risk — factor-level explainability</w:t>
      </w:r>
    </w:p>
    <w:p>
      <w:pPr>
        <w:pStyle w:val="ListParagraph"/>
        <w:numPr>
          <w:ilvl w:val="0"/>
          <w:numId w:val="7"/>
        </w:numPr>
        <w:spacing w:after="60"/>
      </w:pPr>
      <w:r>
        <w:rPr>
          <w:rFonts w:ascii="Arial" w:cs="Arial" w:eastAsia="Arial" w:hAnsi="Arial"/>
          <w:color w:val="333333"/>
          <w:sz w:val="22"/>
          <w:szCs w:val="22"/>
        </w:rPr>
        <w:t xml:space="preserve">Colour-coded risk indicators (green/yellow/red) with drill-down into contributing attributes</w:t>
      </w:r>
    </w:p>
    <w:p>
      <w:pPr>
        <w:pStyle w:val="ListParagraph"/>
        <w:numPr>
          <w:ilvl w:val="0"/>
          <w:numId w:val="7"/>
        </w:numPr>
        <w:spacing w:after="60"/>
      </w:pPr>
      <w:r>
        <w:rPr>
          <w:rFonts w:ascii="Arial" w:cs="Arial" w:eastAsia="Arial" w:hAnsi="Arial"/>
          <w:color w:val="333333"/>
          <w:sz w:val="22"/>
          <w:szCs w:val="22"/>
        </w:rPr>
        <w:t xml:space="preserve">Customisable risk thresholds for quality managers</w:t>
      </w:r>
    </w:p>
    <w:p>
      <w:pPr>
        <w:pStyle w:val="ListParagraph"/>
        <w:numPr>
          <w:ilvl w:val="0"/>
          <w:numId w:val="7"/>
        </w:numPr>
        <w:spacing w:after="60"/>
      </w:pPr>
      <w:r>
        <w:rPr>
          <w:rFonts w:ascii="Arial" w:cs="Arial" w:eastAsia="Arial" w:hAnsi="Arial"/>
          <w:color w:val="333333"/>
          <w:sz w:val="22"/>
          <w:szCs w:val="22"/>
        </w:rPr>
        <w:t xml:space="preserve">Nth-tier automated supply chain mapping (from Pivot88 acquisition)</w:t>
      </w:r>
    </w:p>
    <w:p>
      <w:pPr>
        <w:pStyle w:val="Heading3"/>
        <w:spacing w:before="240" w:after="120"/>
      </w:pPr>
      <w:r>
        <w:rPr>
          <w:rFonts w:ascii="Arial" w:cs="Arial" w:eastAsia="Arial" w:hAnsi="Arial"/>
          <w:b/>
          <w:bCs/>
          <w:color w:val="1E2761"/>
          <w:sz w:val="24"/>
          <w:szCs w:val="24"/>
        </w:rPr>
        <w:t xml:space="preserve">EU DPP Readiness</w:t>
      </w:r>
    </w:p>
    <w:p>
      <w:pPr>
        <w:spacing w:after="120"/>
        <w:jc w:val="both"/>
      </w:pPr>
      <w:r>
        <w:rPr>
          <w:rFonts w:ascii="Arial" w:cs="Arial" w:eastAsia="Arial" w:hAnsi="Arial"/>
          <w:b w:val="false"/>
          <w:bCs w:val="false"/>
          <w:i w:val="false"/>
          <w:iCs w:val="false"/>
          <w:color w:val="333333"/>
          <w:sz w:val="22"/>
          <w:szCs w:val="22"/>
        </w:rPr>
        <w:t xml:space="preserve">Adjacent capability only. AI Chain of Custody addresses traceability for UFLPA/EUDR, and Pivot88’s Nth-tier mapping provides foundational data for DPP. However, no dedicated DPP product or marketing has been identified.</w:t>
      </w:r>
    </w:p>
    <w:p>
      <w:pPr>
        <w:pStyle w:val="Heading3"/>
        <w:spacing w:before="240" w:after="120"/>
      </w:pPr>
      <w:r>
        <w:rPr>
          <w:rFonts w:ascii="Arial" w:cs="Arial" w:eastAsia="Arial" w:hAnsi="Arial"/>
          <w:b/>
          <w:bCs/>
          <w:color w:val="1E2761"/>
          <w:sz w:val="24"/>
          <w:szCs w:val="24"/>
        </w:rPr>
        <w:t xml:space="preserve">Pricing Model</w:t>
      </w:r>
    </w:p>
    <w:p>
      <w:pPr>
        <w:spacing w:after="120"/>
        <w:jc w:val="both"/>
      </w:pPr>
      <w:r>
        <w:rPr>
          <w:rFonts w:ascii="Arial" w:cs="Arial" w:eastAsia="Arial" w:hAnsi="Arial"/>
          <w:b w:val="false"/>
          <w:bCs w:val="false"/>
          <w:i w:val="false"/>
          <w:iCs w:val="false"/>
          <w:color w:val="333333"/>
          <w:sz w:val="22"/>
          <w:szCs w:val="22"/>
        </w:rPr>
        <w:t xml:space="preserve">SaaS subscription, module-based. No charge for retailer and supplier connections (designed to drive adoption). Pricing based on company size, selected modules, and workflow needs.</w:t>
      </w:r>
    </w:p>
    <w:p>
      <w:pPr>
        <w:pStyle w:val="Heading3"/>
        <w:spacing w:before="240" w:after="120"/>
      </w:pPr>
      <w:r>
        <w:rPr>
          <w:rFonts w:ascii="Arial" w:cs="Arial" w:eastAsia="Arial" w:hAnsi="Arial"/>
          <w:b/>
          <w:bCs/>
          <w:color w:val="1E2761"/>
          <w:sz w:val="24"/>
          <w:szCs w:val="24"/>
        </w:rPr>
        <w:t xml:space="preserve">Where They Fall Short (CARLOS Advantage)</w:t>
      </w:r>
    </w:p>
    <w:p>
      <w:pPr>
        <w:pStyle w:val="ListParagraph"/>
        <w:numPr>
          <w:ilvl w:val="0"/>
          <w:numId w:val="8"/>
        </w:numPr>
        <w:spacing w:after="60"/>
      </w:pPr>
      <w:r>
        <w:rPr>
          <w:rFonts w:ascii="Arial" w:cs="Arial" w:eastAsia="Arial" w:hAnsi="Arial"/>
          <w:color w:val="333333"/>
          <w:sz w:val="22"/>
          <w:szCs w:val="22"/>
        </w:rPr>
        <w:t xml:space="preserve">Risk scoring shows contributing factors but no full reasoning transparency</w:t>
      </w:r>
    </w:p>
    <w:p>
      <w:pPr>
        <w:pStyle w:val="ListParagraph"/>
        <w:numPr>
          <w:ilvl w:val="0"/>
          <w:numId w:val="8"/>
        </w:numPr>
        <w:spacing w:after="60"/>
      </w:pPr>
      <w:r>
        <w:rPr>
          <w:rFonts w:ascii="Arial" w:cs="Arial" w:eastAsia="Arial" w:hAnsi="Arial"/>
          <w:color w:val="333333"/>
          <w:sz w:val="22"/>
          <w:szCs w:val="22"/>
        </w:rPr>
        <w:t xml:space="preserve">No DPP product — Chain of Custody is adjacent, not DPP-specific</w:t>
      </w:r>
    </w:p>
    <w:p>
      <w:pPr>
        <w:pStyle w:val="ListParagraph"/>
        <w:numPr>
          <w:ilvl w:val="0"/>
          <w:numId w:val="8"/>
        </w:numPr>
        <w:spacing w:after="60"/>
      </w:pPr>
      <w:r>
        <w:rPr>
          <w:rFonts w:ascii="Arial" w:cs="Arial" w:eastAsia="Arial" w:hAnsi="Arial"/>
          <w:color w:val="333333"/>
          <w:sz w:val="22"/>
          <w:szCs w:val="22"/>
        </w:rPr>
        <w:t xml:space="preserve">No scenario simulation, care labelling AI, downstream impact, or confidence ranges</w:t>
      </w:r>
    </w:p>
    <w:p>
      <w:pPr>
        <w:pStyle w:val="ListParagraph"/>
        <w:numPr>
          <w:ilvl w:val="0"/>
          <w:numId w:val="8"/>
        </w:numPr>
        <w:spacing w:after="60"/>
      </w:pPr>
      <w:r>
        <w:rPr>
          <w:rFonts w:ascii="Arial" w:cs="Arial" w:eastAsia="Arial" w:hAnsi="Arial"/>
          <w:color w:val="333333"/>
          <w:sz w:val="22"/>
          <w:szCs w:val="22"/>
        </w:rPr>
        <w:t xml:space="preserve">No multi-framework simultaneous validation</w:t>
      </w:r>
    </w:p>
    <w:p>
      <w:pPr>
        <w:pStyle w:val="ListParagraph"/>
        <w:numPr>
          <w:ilvl w:val="0"/>
          <w:numId w:val="8"/>
        </w:numPr>
        <w:spacing w:after="60"/>
      </w:pPr>
      <w:r>
        <w:rPr>
          <w:rFonts w:ascii="Arial" w:cs="Arial" w:eastAsia="Arial" w:hAnsi="Arial"/>
          <w:color w:val="333333"/>
          <w:sz w:val="22"/>
          <w:szCs w:val="22"/>
        </w:rPr>
        <w:t xml:space="preserve">No field presence</w:t>
      </w:r>
    </w:p>
    <w:p>
      <w:pPr>
        <w:pStyle w:val="Heading3"/>
        <w:spacing w:before="240" w:after="120"/>
      </w:pPr>
      <w:r>
        <w:rPr>
          <w:rFonts w:ascii="Arial" w:cs="Arial" w:eastAsia="Arial" w:hAnsi="Arial"/>
          <w:b/>
          <w:bCs/>
          <w:color w:val="1E2761"/>
          <w:sz w:val="24"/>
          <w:szCs w:val="24"/>
        </w:rPr>
        <w:t xml:space="preserve">Win Themes</w:t>
      </w:r>
    </w:p>
    <w:p>
      <w:pPr>
        <w:pStyle w:val="ListParagraph"/>
        <w:numPr>
          <w:ilvl w:val="0"/>
          <w:numId w:val="2"/>
        </w:numPr>
        <w:spacing w:after="60"/>
      </w:pPr>
      <w:r>
        <w:rPr>
          <w:rFonts w:ascii="Arial" w:cs="Arial" w:eastAsia="Arial" w:hAnsi="Arial"/>
          <w:color w:val="333333"/>
          <w:sz w:val="22"/>
          <w:szCs w:val="22"/>
        </w:rPr>
        <w:t xml:space="preserve">“TradeBeyond covers the supply chain end-to-end. CARLOS goes deeper on the intelligence layer.”</w:t>
      </w:r>
    </w:p>
    <w:p>
      <w:pPr>
        <w:pStyle w:val="ListParagraph"/>
        <w:numPr>
          <w:ilvl w:val="0"/>
          <w:numId w:val="2"/>
        </w:numPr>
        <w:spacing w:after="60"/>
      </w:pPr>
      <w:r>
        <w:rPr>
          <w:rFonts w:ascii="Arial" w:cs="Arial" w:eastAsia="Arial" w:hAnsi="Arial"/>
          <w:color w:val="333333"/>
          <w:sz w:val="22"/>
          <w:szCs w:val="22"/>
        </w:rPr>
        <w:t xml:space="preserve">“Their PO Risk Rating flags risk. Our scenario simulator models what happens next.”</w:t>
      </w:r>
    </w:p>
    <w:p>
      <w:pPr>
        <w:pStyle w:val="ListParagraph"/>
        <w:numPr>
          <w:ilvl w:val="0"/>
          <w:numId w:val="2"/>
        </w:numPr>
        <w:spacing w:after="60"/>
      </w:pPr>
      <w:r>
        <w:rPr>
          <w:rFonts w:ascii="Arial" w:cs="Arial" w:eastAsia="Arial" w:hAnsi="Arial"/>
          <w:color w:val="333333"/>
          <w:sz w:val="22"/>
          <w:szCs w:val="22"/>
        </w:rPr>
        <w:t xml:space="preserve">“They colour-code risk. We quantify it with confidence ranges.”</w:t>
      </w:r>
    </w:p>
    <w:p>
      <w:r>
        <w:br w:type="page"/>
      </w:r>
    </w:p>
    <w:p>
      <w:pPr>
        <w:pStyle w:val="Heading2"/>
        <w:spacing w:before="240" w:after="120"/>
      </w:pPr>
      <w:r>
        <w:rPr>
          <w:rFonts w:ascii="Arial" w:cs="Arial" w:eastAsia="Arial" w:hAnsi="Arial"/>
          <w:b/>
          <w:bCs/>
          <w:color w:val="1E2761"/>
          <w:sz w:val="28"/>
          <w:szCs w:val="28"/>
        </w:rPr>
        <w:t xml:space="preserve">3.3 QIMA</w:t>
      </w:r>
    </w:p>
    <w:p>
      <w:pPr>
        <w:spacing w:after="120"/>
        <w:jc w:val="both"/>
      </w:pPr>
      <w:r>
        <w:rPr>
          <w:rFonts w:ascii="Arial" w:cs="Arial" w:eastAsia="Arial" w:hAnsi="Arial"/>
          <w:b/>
          <w:bCs/>
          <w:color w:val="333333"/>
          <w:sz w:val="22"/>
          <w:szCs w:val="22"/>
        </w:rPr>
        <w:t xml:space="preserve">Positioning: </w:t>
      </w:r>
      <w:r>
        <w:rPr>
          <w:rFonts w:ascii="Arial" w:cs="Arial" w:eastAsia="Arial" w:hAnsi="Arial"/>
          <w:color w:val="333333"/>
          <w:sz w:val="22"/>
          <w:szCs w:val="22"/>
        </w:rPr>
        <w:t xml:space="preserve">TIC services provider (inspections, audits, lab testing) with a digital platform overlay. Hybrid model: SaaS platform + 2,500+ owned inspectors/auditors in 95+ countries.</w:t>
      </w:r>
    </w:p>
    <w:p>
      <w:pPr>
        <w:spacing w:after="120"/>
        <w:jc w:val="both"/>
      </w:pPr>
      <w:r>
        <w:rPr>
          <w:rFonts w:ascii="Arial" w:cs="Arial" w:eastAsia="Arial" w:hAnsi="Arial"/>
          <w:b/>
          <w:bCs/>
          <w:color w:val="333333"/>
          <w:sz w:val="22"/>
          <w:szCs w:val="22"/>
        </w:rPr>
        <w:t xml:space="preserve">Scale: </w:t>
      </w:r>
      <w:r>
        <w:rPr>
          <w:rFonts w:ascii="Arial" w:cs="Arial" w:eastAsia="Arial" w:hAnsi="Arial"/>
          <w:color w:val="333333"/>
          <w:sz w:val="22"/>
          <w:szCs w:val="22"/>
        </w:rPr>
        <w:t xml:space="preserve">30,000+ clients in 120 countries. 20 years in market. Broad base across consumer products, food and agriculture, and life sciences.</w:t>
      </w:r>
    </w:p>
    <w:p>
      <w:pPr>
        <w:pStyle w:val="Heading3"/>
        <w:spacing w:before="240" w:after="120"/>
      </w:pPr>
      <w:r>
        <w:rPr>
          <w:rFonts w:ascii="Arial" w:cs="Arial" w:eastAsia="Arial" w:hAnsi="Arial"/>
          <w:b/>
          <w:bCs/>
          <w:color w:val="1E2761"/>
          <w:sz w:val="24"/>
          <w:szCs w:val="24"/>
        </w:rPr>
        <w:t xml:space="preserve">Latest Product Launches</w:t>
      </w:r>
    </w:p>
    <w:p>
      <w:pPr>
        <w:pStyle w:val="ListParagraph"/>
        <w:numPr>
          <w:ilvl w:val="0"/>
          <w:numId w:val="3"/>
        </w:numPr>
        <w:spacing w:after="60"/>
      </w:pPr>
      <w:r>
        <w:rPr>
          <w:rFonts w:ascii="Arial" w:cs="Arial" w:eastAsia="Arial" w:hAnsi="Arial"/>
          <w:b/>
          <w:bCs/>
          <w:color w:val="333333"/>
          <w:sz w:val="22"/>
          <w:szCs w:val="22"/>
        </w:rPr>
        <w:t xml:space="preserve">AI Report Summary (2025–2026):</w:t>
      </w:r>
      <w:r>
        <w:rPr>
          <w:rFonts w:ascii="Arial" w:cs="Arial" w:eastAsia="Arial" w:hAnsi="Arial"/>
          <w:color w:val="333333"/>
          <w:sz w:val="22"/>
          <w:szCs w:val="22"/>
        </w:rPr>
        <w:t xml:space="preserve"> AI-powered inspection report feature within myQIMA that transforms pages of results into instant insights, highlighting high-impact defects, critical images, and tailored corrective actions.</w:t>
      </w:r>
    </w:p>
    <w:p>
      <w:pPr>
        <w:pStyle w:val="ListParagraph"/>
        <w:numPr>
          <w:ilvl w:val="0"/>
          <w:numId w:val="3"/>
        </w:numPr>
        <w:spacing w:after="60"/>
      </w:pPr>
      <w:r>
        <w:rPr>
          <w:rFonts w:ascii="Arial" w:cs="Arial" w:eastAsia="Arial" w:hAnsi="Arial"/>
          <w:b/>
          <w:bCs/>
          <w:color w:val="333333"/>
          <w:sz w:val="22"/>
          <w:szCs w:val="22"/>
        </w:rPr>
        <w:t xml:space="preserve">Risk Radar expansion:</w:t>
      </w:r>
      <w:r>
        <w:rPr>
          <w:rFonts w:ascii="Arial" w:cs="Arial" w:eastAsia="Arial" w:hAnsi="Arial"/>
          <w:color w:val="333333"/>
          <w:sz w:val="22"/>
          <w:szCs w:val="22"/>
        </w:rPr>
        <w:t xml:space="preserve"> Factory risk scorecards, order risk ratings, country risk benchmarks, and AI-driven supplier incident monitoring via media and social scanning.</w:t>
      </w:r>
    </w:p>
    <w:p>
      <w:pPr>
        <w:pStyle w:val="ListParagraph"/>
        <w:numPr>
          <w:ilvl w:val="0"/>
          <w:numId w:val="3"/>
        </w:numPr>
        <w:spacing w:after="60"/>
      </w:pPr>
      <w:r>
        <w:rPr>
          <w:rFonts w:ascii="Arial" w:cs="Arial" w:eastAsia="Arial" w:hAnsi="Arial"/>
          <w:b/>
          <w:bCs/>
          <w:color w:val="333333"/>
          <w:sz w:val="22"/>
          <w:szCs w:val="22"/>
        </w:rPr>
        <w:t xml:space="preserve">QIMAone platform:</w:t>
      </w:r>
      <w:r>
        <w:rPr>
          <w:rFonts w:ascii="Arial" w:cs="Arial" w:eastAsia="Arial" w:hAnsi="Arial"/>
          <w:color w:val="333333"/>
          <w:sz w:val="22"/>
          <w:szCs w:val="22"/>
        </w:rPr>
        <w:t xml:space="preserve"> Two tiers (standard and advanced with AI Risk Radar). Quote-based pricing.</w:t>
      </w:r>
    </w:p>
    <w:p>
      <w:pPr>
        <w:pStyle w:val="Heading3"/>
        <w:spacing w:before="240" w:after="120"/>
      </w:pPr>
      <w:r>
        <w:rPr>
          <w:rFonts w:ascii="Arial" w:cs="Arial" w:eastAsia="Arial" w:hAnsi="Arial"/>
          <w:b/>
          <w:bCs/>
          <w:color w:val="1E2761"/>
          <w:sz w:val="24"/>
          <w:szCs w:val="24"/>
        </w:rPr>
        <w:t xml:space="preserve">AI Capabilities</w:t>
      </w:r>
    </w:p>
    <w:p>
      <w:pPr>
        <w:pStyle w:val="ListParagraph"/>
        <w:numPr>
          <w:ilvl w:val="0"/>
          <w:numId w:val="4"/>
        </w:numPr>
        <w:spacing w:after="60"/>
      </w:pPr>
      <w:r>
        <w:rPr>
          <w:rFonts w:ascii="Arial" w:cs="Arial" w:eastAsia="Arial" w:hAnsi="Arial"/>
          <w:color w:val="333333"/>
          <w:sz w:val="22"/>
          <w:szCs w:val="22"/>
        </w:rPr>
        <w:t xml:space="preserve">AI report summaries — operational automation of inspection reporting</w:t>
      </w:r>
    </w:p>
    <w:p>
      <w:pPr>
        <w:pStyle w:val="ListParagraph"/>
        <w:numPr>
          <w:ilvl w:val="0"/>
          <w:numId w:val="4"/>
        </w:numPr>
        <w:spacing w:after="60"/>
      </w:pPr>
      <w:r>
        <w:rPr>
          <w:rFonts w:ascii="Arial" w:cs="Arial" w:eastAsia="Arial" w:hAnsi="Arial"/>
          <w:color w:val="333333"/>
          <w:sz w:val="22"/>
          <w:szCs w:val="22"/>
        </w:rPr>
        <w:t xml:space="preserve">Risk Radar — factory, order, and country-level risk benchmarking</w:t>
      </w:r>
    </w:p>
    <w:p>
      <w:pPr>
        <w:pStyle w:val="ListParagraph"/>
        <w:numPr>
          <w:ilvl w:val="0"/>
          <w:numId w:val="4"/>
        </w:numPr>
        <w:spacing w:after="60"/>
      </w:pPr>
      <w:r>
        <w:rPr>
          <w:rFonts w:ascii="Arial" w:cs="Arial" w:eastAsia="Arial" w:hAnsi="Arial"/>
          <w:color w:val="333333"/>
          <w:sz w:val="22"/>
          <w:szCs w:val="22"/>
        </w:rPr>
        <w:t xml:space="preserve">AI-driven incident monitoring via media/social scanning for supplier risks</w:t>
      </w:r>
    </w:p>
    <w:p>
      <w:pPr>
        <w:pStyle w:val="ListParagraph"/>
        <w:numPr>
          <w:ilvl w:val="0"/>
          <w:numId w:val="4"/>
        </w:numPr>
        <w:spacing w:after="60"/>
      </w:pPr>
      <w:r>
        <w:rPr>
          <w:rFonts w:ascii="Arial" w:cs="Arial" w:eastAsia="Arial" w:hAnsi="Arial"/>
          <w:color w:val="333333"/>
          <w:sz w:val="22"/>
          <w:szCs w:val="22"/>
        </w:rPr>
        <w:t xml:space="preserve">Emphasis on risk surfacing rather than reasoning transparency</w:t>
      </w:r>
    </w:p>
    <w:p>
      <w:pPr>
        <w:pStyle w:val="Heading3"/>
        <w:spacing w:before="240" w:after="120"/>
      </w:pPr>
      <w:r>
        <w:rPr>
          <w:rFonts w:ascii="Arial" w:cs="Arial" w:eastAsia="Arial" w:hAnsi="Arial"/>
          <w:b/>
          <w:bCs/>
          <w:color w:val="1E2761"/>
          <w:sz w:val="24"/>
          <w:szCs w:val="24"/>
        </w:rPr>
        <w:t xml:space="preserve">EU DPP Readiness</w:t>
      </w:r>
    </w:p>
    <w:p>
      <w:pPr>
        <w:spacing w:after="120"/>
        <w:jc w:val="both"/>
      </w:pPr>
      <w:r>
        <w:rPr>
          <w:rFonts w:ascii="Arial" w:cs="Arial" w:eastAsia="Arial" w:hAnsi="Arial"/>
          <w:b w:val="false"/>
          <w:bCs w:val="false"/>
          <w:i w:val="false"/>
          <w:iCs w:val="false"/>
          <w:color w:val="333333"/>
          <w:sz w:val="22"/>
          <w:szCs w:val="22"/>
        </w:rPr>
        <w:t xml:space="preserve">Thought leadership only. Hosted webinars on DPP for textiles and PPWR compliance. Transparency and traceability solutions provide relevant building blocks but no explicit DPP product offering has been identified.</w:t>
      </w:r>
    </w:p>
    <w:p>
      <w:pPr>
        <w:pStyle w:val="Heading3"/>
        <w:spacing w:before="240" w:after="120"/>
      </w:pPr>
      <w:r>
        <w:rPr>
          <w:rFonts w:ascii="Arial" w:cs="Arial" w:eastAsia="Arial" w:hAnsi="Arial"/>
          <w:b/>
          <w:bCs/>
          <w:color w:val="1E2761"/>
          <w:sz w:val="24"/>
          <w:szCs w:val="24"/>
        </w:rPr>
        <w:t xml:space="preserve">Pricing Model</w:t>
      </w:r>
    </w:p>
    <w:p>
      <w:pPr>
        <w:spacing w:after="120"/>
        <w:jc w:val="both"/>
      </w:pPr>
      <w:r>
        <w:rPr>
          <w:rFonts w:ascii="Arial" w:cs="Arial" w:eastAsia="Arial" w:hAnsi="Arial"/>
          <w:b w:val="false"/>
          <w:bCs w:val="false"/>
          <w:i w:val="false"/>
          <w:iCs w:val="false"/>
          <w:color w:val="333333"/>
          <w:sz w:val="22"/>
          <w:szCs w:val="22"/>
        </w:rPr>
        <w:t xml:space="preserve">Unique hybrid model: per-service transparent pricing with instant price quotes for individual inspection, audit, and testing services (visible upfront). QIMAone SaaS platform has two tiers but pricing is quote-based. This per-service transparency is a genuine differentiator for tactical procurement.</w:t>
      </w:r>
    </w:p>
    <w:p>
      <w:pPr>
        <w:pStyle w:val="Heading3"/>
        <w:spacing w:before="240" w:after="120"/>
      </w:pPr>
      <w:r>
        <w:rPr>
          <w:rFonts w:ascii="Arial" w:cs="Arial" w:eastAsia="Arial" w:hAnsi="Arial"/>
          <w:b/>
          <w:bCs/>
          <w:color w:val="1E2761"/>
          <w:sz w:val="24"/>
          <w:szCs w:val="24"/>
        </w:rPr>
        <w:t xml:space="preserve">Where They Fall Short (CARLOS Advantage)</w:t>
      </w:r>
    </w:p>
    <w:p>
      <w:pPr>
        <w:pStyle w:val="ListParagraph"/>
        <w:numPr>
          <w:ilvl w:val="0"/>
          <w:numId w:val="5"/>
        </w:numPr>
        <w:spacing w:after="60"/>
      </w:pPr>
      <w:r>
        <w:rPr>
          <w:rFonts w:ascii="Arial" w:cs="Arial" w:eastAsia="Arial" w:hAnsi="Arial"/>
          <w:color w:val="333333"/>
          <w:sz w:val="22"/>
          <w:szCs w:val="22"/>
        </w:rPr>
        <w:t xml:space="preserve">AI is operational (report summaries, risk flags) — not strategic</w:t>
      </w:r>
    </w:p>
    <w:p>
      <w:pPr>
        <w:pStyle w:val="ListParagraph"/>
        <w:numPr>
          <w:ilvl w:val="0"/>
          <w:numId w:val="5"/>
        </w:numPr>
        <w:spacing w:after="60"/>
      </w:pPr>
      <w:r>
        <w:rPr>
          <w:rFonts w:ascii="Arial" w:cs="Arial" w:eastAsia="Arial" w:hAnsi="Arial"/>
          <w:color w:val="333333"/>
          <w:sz w:val="22"/>
          <w:szCs w:val="22"/>
        </w:rPr>
        <w:t xml:space="preserve">No reasoning transparency — risk surfacing without underlying logic</w:t>
      </w:r>
    </w:p>
    <w:p>
      <w:pPr>
        <w:pStyle w:val="ListParagraph"/>
        <w:numPr>
          <w:ilvl w:val="0"/>
          <w:numId w:val="5"/>
        </w:numPr>
        <w:spacing w:after="60"/>
      </w:pPr>
      <w:r>
        <w:rPr>
          <w:rFonts w:ascii="Arial" w:cs="Arial" w:eastAsia="Arial" w:hAnsi="Arial"/>
          <w:color w:val="333333"/>
          <w:sz w:val="22"/>
          <w:szCs w:val="22"/>
        </w:rPr>
        <w:t xml:space="preserve">No DPP product, no scenario simulation, no care labelling AI</w:t>
      </w:r>
    </w:p>
    <w:p>
      <w:pPr>
        <w:pStyle w:val="ListParagraph"/>
        <w:numPr>
          <w:ilvl w:val="0"/>
          <w:numId w:val="5"/>
        </w:numPr>
        <w:spacing w:after="60"/>
      </w:pPr>
      <w:r>
        <w:rPr>
          <w:rFonts w:ascii="Arial" w:cs="Arial" w:eastAsia="Arial" w:hAnsi="Arial"/>
          <w:color w:val="333333"/>
          <w:sz w:val="22"/>
          <w:szCs w:val="22"/>
        </w:rPr>
        <w:t xml:space="preserve">No confidence ranges, no multi-framework validation, no autonomous agents</w:t>
      </w:r>
    </w:p>
    <w:p>
      <w:pPr>
        <w:pStyle w:val="Heading3"/>
        <w:spacing w:before="240" w:after="120"/>
      </w:pPr>
      <w:r>
        <w:rPr>
          <w:rFonts w:ascii="Arial" w:cs="Arial" w:eastAsia="Arial" w:hAnsi="Arial"/>
          <w:b/>
          <w:bCs/>
          <w:color w:val="1E2761"/>
          <w:sz w:val="24"/>
          <w:szCs w:val="24"/>
        </w:rPr>
        <w:t xml:space="preserve">Win Themes</w:t>
      </w:r>
    </w:p>
    <w:p>
      <w:pPr>
        <w:pStyle w:val="ListParagraph"/>
        <w:numPr>
          <w:ilvl w:val="0"/>
          <w:numId w:val="6"/>
        </w:numPr>
        <w:spacing w:after="60"/>
      </w:pPr>
      <w:r>
        <w:rPr>
          <w:rFonts w:ascii="Arial" w:cs="Arial" w:eastAsia="Arial" w:hAnsi="Arial"/>
          <w:color w:val="333333"/>
          <w:sz w:val="22"/>
          <w:szCs w:val="22"/>
        </w:rPr>
        <w:t xml:space="preserve">“QIMA executes inspections. CARLOS predicts what needs inspecting and why.”</w:t>
      </w:r>
    </w:p>
    <w:p>
      <w:pPr>
        <w:pStyle w:val="ListParagraph"/>
        <w:numPr>
          <w:ilvl w:val="0"/>
          <w:numId w:val="6"/>
        </w:numPr>
        <w:spacing w:after="60"/>
      </w:pPr>
      <w:r>
        <w:rPr>
          <w:rFonts w:ascii="Arial" w:cs="Arial" w:eastAsia="Arial" w:hAnsi="Arial"/>
          <w:color w:val="333333"/>
          <w:sz w:val="22"/>
          <w:szCs w:val="22"/>
        </w:rPr>
        <w:t xml:space="preserve">“They’re a TIC company that added tech. We’re tech that transforms TIC.”</w:t>
      </w:r>
    </w:p>
    <w:p>
      <w:pPr>
        <w:pStyle w:val="ListParagraph"/>
        <w:numPr>
          <w:ilvl w:val="0"/>
          <w:numId w:val="6"/>
        </w:numPr>
        <w:spacing w:after="60"/>
      </w:pPr>
      <w:r>
        <w:rPr>
          <w:rFonts w:ascii="Arial" w:cs="Arial" w:eastAsia="Arial" w:hAnsi="Arial"/>
          <w:color w:val="333333"/>
          <w:sz w:val="22"/>
          <w:szCs w:val="22"/>
        </w:rPr>
        <w:t xml:space="preserve">“Their AI summarises reports. Ours builds the reasoning chain before the report exists.”</w:t>
      </w:r>
    </w:p>
    <w:p>
      <w:r>
        <w:br w:type="page"/>
      </w:r>
    </w:p>
    <w:p>
      <w:pPr>
        <w:pStyle w:val="Heading1"/>
        <w:spacing w:before="360" w:after="120"/>
      </w:pPr>
      <w:r>
        <w:rPr>
          <w:rFonts w:ascii="Arial" w:cs="Arial" w:eastAsia="Arial" w:hAnsi="Arial"/>
          <w:b/>
          <w:bCs/>
          <w:color w:val="1E2761"/>
          <w:sz w:val="36"/>
          <w:szCs w:val="36"/>
        </w:rPr>
        <w:t xml:space="preserve">4. Feature Comparison Matrix</w:t>
      </w:r>
    </w:p>
    <w:p>
      <w:pPr>
        <w:spacing w:after="120"/>
        <w:jc w:val="both"/>
      </w:pPr>
      <w:r>
        <w:rPr>
          <w:rFonts w:ascii="Arial" w:cs="Arial" w:eastAsia="Arial" w:hAnsi="Arial"/>
          <w:b w:val="false"/>
          <w:bCs w:val="false"/>
          <w:i w:val="false"/>
          <w:iCs w:val="false"/>
          <w:color w:val="333333"/>
          <w:sz w:val="22"/>
          <w:szCs w:val="22"/>
        </w:rPr>
        <w:t xml:space="preserve">Scoring methodology: Full capability = 1 point (YES). Partial/limited capability = 0.5 points (PARTIAL). Not present = 0 points (NO). Denominator: 16 features. Based on February 2026 competitive analysis with 24 cited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Feature</w:t>
            </w:r>
          </w:p>
        </w:tc>
        <w:tc>
          <w:tcPr>
            <w:tcW w:type="dxa" w:w="187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CARLOS</w:t>
            </w:r>
          </w:p>
        </w:tc>
        <w:tc>
          <w:tcPr>
            <w:tcW w:type="dxa" w:w="187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Inspectorio</w:t>
            </w:r>
          </w:p>
        </w:tc>
        <w:tc>
          <w:tcPr>
            <w:tcW w:type="dxa" w:w="187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TradeBeyond</w:t>
            </w:r>
          </w:p>
        </w:tc>
        <w:tc>
          <w:tcPr>
            <w:tcW w:type="dxa" w:w="187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QIMA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Predictive risk scoring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847 ML features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Paramo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PO Risk Rating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Risk Radar</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Cited recommendations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Full chains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Source-backed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Autonomous agents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Graduated autonomy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Agentic 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Natural language query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Contextual NLP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Conversational AI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Chatbot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 processing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Multi-framework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Multi-language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CoC linking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AI summaries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Explainability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Chains + confidence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Citations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Factors shown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Factors visible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EU DPP readiness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Multi-framework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Traceability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 Adjacent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 Thought leadership</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Supply chain mapping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Digital layer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15K+ suppliers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Nth-tier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2,500 inspectors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Scenario simulation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Care labelling AI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Downstream impact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Multi-framework validation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Simultaneous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Basic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Confidence ranges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Component N:M linking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Role-adaptive views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Graduated autonomy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c>
          <w:tcPr>
            <w:tcW w:type="dxa" w:w="1872"/>
            <w:tcBorders>
              <w:top w:val="single" w:color="CCCCCC" w:sz="1"/>
              <w:left w:val="single" w:color="CCCCCC" w:sz="1"/>
              <w:bottom w:val="single" w:color="CCCCCC" w:sz="1"/>
              <w:right w:val="single" w:color="CCCCCC" w:sz="1"/>
            </w:tcBorders>
            <w:shd w:fill="1B7A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14 / 16</w:t>
            </w:r>
          </w:p>
        </w:tc>
        <w:tc>
          <w:tcPr>
            <w:tcW w:type="dxa" w:w="1872"/>
            <w:tcBorders>
              <w:top w:val="single" w:color="CCCCCC" w:sz="1"/>
              <w:left w:val="single" w:color="CCCCCC" w:sz="1"/>
              <w:bottom w:val="single" w:color="CCCCCC" w:sz="1"/>
              <w:right w:val="single" w:color="CCCCCC" w:sz="1"/>
            </w:tcBorders>
            <w:shd w:fill="C07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 / 16</w:t>
            </w:r>
          </w:p>
        </w:tc>
        <w:tc>
          <w:tcPr>
            <w:tcW w:type="dxa" w:w="1872"/>
            <w:tcBorders>
              <w:top w:val="single" w:color="CCCCCC" w:sz="1"/>
              <w:left w:val="single" w:color="CCCCCC" w:sz="1"/>
              <w:bottom w:val="single" w:color="CCCCCC" w:sz="1"/>
              <w:right w:val="single" w:color="CCCCCC" w:sz="1"/>
            </w:tcBorders>
            <w:shd w:fill="CC55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 / 16</w:t>
            </w:r>
          </w:p>
        </w:tc>
        <w:tc>
          <w:tcPr>
            <w:tcW w:type="dxa" w:w="1872"/>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3.5 / 16</w:t>
            </w:r>
          </w:p>
        </w:tc>
      </w:tr>
    </w:tbl>
    <w:p>
      <w:pPr>
        <w:spacing w:after="120"/>
      </w:pPr>
    </w:p>
    <w:p>
      <w:pPr>
        <w:spacing w:after="120"/>
        <w:jc w:val="both"/>
      </w:pPr>
      <w:r>
        <w:rPr>
          <w:rFonts w:ascii="Arial" w:cs="Arial" w:eastAsia="Arial" w:hAnsi="Arial"/>
          <w:b w:val="false"/>
          <w:bCs w:val="false"/>
          <w:i/>
          <w:iCs/>
          <w:color w:val="333333"/>
          <w:sz w:val="22"/>
          <w:szCs w:val="22"/>
        </w:rPr>
        <w:t xml:space="preserve">A 5-point lead (14 vs. 9) is dominant and defensible with any buyer who researches for 30 minutes. An 11-point lead that contradicts observable reality destroys all credibility.</w:t>
      </w:r>
    </w:p>
    <w:p>
      <w:r>
        <w:br w:type="page"/>
      </w:r>
    </w:p>
    <w:p>
      <w:pPr>
        <w:pStyle w:val="Heading1"/>
        <w:spacing w:before="360" w:after="120"/>
      </w:pPr>
      <w:r>
        <w:rPr>
          <w:rFonts w:ascii="Arial" w:cs="Arial" w:eastAsia="Arial" w:hAnsi="Arial"/>
          <w:b/>
          <w:bCs/>
          <w:color w:val="1E2761"/>
          <w:sz w:val="36"/>
          <w:szCs w:val="36"/>
        </w:rPr>
        <w:t xml:space="preserve">5. EU DPP 2027 Readiness Assessment</w:t>
      </w:r>
    </w:p>
    <w:p>
      <w:pPr>
        <w:spacing w:after="120"/>
        <w:jc w:val="both"/>
      </w:pPr>
      <w:r>
        <w:rPr>
          <w:rFonts w:ascii="Arial" w:cs="Arial" w:eastAsia="Arial" w:hAnsi="Arial"/>
          <w:b w:val="false"/>
          <w:bCs w:val="false"/>
          <w:i w:val="false"/>
          <w:iCs w:val="false"/>
          <w:color w:val="333333"/>
          <w:sz w:val="22"/>
          <w:szCs w:val="22"/>
        </w:rPr>
        <w:t xml:space="preserve">The EU Digital Product Passport becomes mandatory starting 2027 for priority product groups (batteries, industrial equipment), with phased expansion to textiles, electronics, and broader product categories by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DPP Readiness</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Strongest explicit positioning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Published dedicated DPP content; claims brands already using it. End-to-end traceability, unified data hub, automated supplier engagement.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TradeBeyond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Adjacent capability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Chain of Custody for UFLPA/EUDR. Nth-tier mapping provides foundational data. No dedicated DPP product.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Thought leadership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Hosted DPP webinars. Transparency solutions provide building blocks. No explicit DPP product.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CARLOS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Architected for 2027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Simultaneous multi-framework validation (bluesign + OEKO-TEX + ZDHC). Confidence ranges. Downstream impact visualisation.</w:t>
            </w:r>
          </w:p>
        </w:tc>
      </w:tr>
    </w:tbl>
    <w:p>
      <w:pPr>
        <w:spacing w:after="120"/>
      </w:pPr>
    </w:p>
    <w:p>
      <w:pPr>
        <w:spacing w:after="120"/>
        <w:jc w:val="both"/>
      </w:pPr>
      <w:r>
        <w:rPr>
          <w:rFonts w:ascii="Arial" w:cs="Arial" w:eastAsia="Arial" w:hAnsi="Arial"/>
          <w:b/>
          <w:bCs/>
          <w:color w:val="333333"/>
          <w:sz w:val="22"/>
          <w:szCs w:val="22"/>
        </w:rPr>
        <w:t xml:space="preserve">CARLOS differentiator: </w:t>
      </w:r>
      <w:r>
        <w:rPr>
          <w:rFonts w:ascii="Arial" w:cs="Arial" w:eastAsia="Arial" w:hAnsi="Arial"/>
          <w:color w:val="333333"/>
          <w:sz w:val="22"/>
          <w:szCs w:val="22"/>
        </w:rPr>
        <w:t xml:space="preserve">DPP is not just about tracking compliance — it requires validating across multiple regulatory frameworks simultaneously. CARLOS is the only platform in this analysis that validates across bluesign, OEKO-TEX, and ZDHC in a single view.</w:t>
      </w:r>
    </w:p>
    <w:p>
      <w:pPr>
        <w:spacing w:after="120"/>
        <w:jc w:val="both"/>
      </w:pPr>
      <w:r>
        <w:rPr>
          <w:rFonts w:ascii="Arial" w:cs="Arial" w:eastAsia="Arial" w:hAnsi="Arial"/>
          <w:b w:val="false"/>
          <w:bCs w:val="false"/>
          <w:i/>
          <w:iCs/>
          <w:color w:val="333333"/>
          <w:sz w:val="22"/>
          <w:szCs w:val="22"/>
        </w:rPr>
        <w:t xml:space="preserve">Validation warning: No vendor can claim “full DPP compliance” today. EU delegated acts specifying exact product-group requirements are still being finalised, with harmonised standards expected to roll out through 2026–2027. All claims represent architectural readiness, not certified regulatory compliance.</w:t>
      </w:r>
    </w:p>
    <w:p>
      <w:pPr>
        <w:pStyle w:val="Heading1"/>
        <w:spacing w:before="360" w:after="120"/>
      </w:pPr>
      <w:r>
        <w:rPr>
          <w:rFonts w:ascii="Arial" w:cs="Arial" w:eastAsia="Arial" w:hAnsi="Arial"/>
          <w:b/>
          <w:bCs/>
          <w:color w:val="1E2761"/>
          <w:sz w:val="36"/>
          <w:szCs w:val="36"/>
        </w:rPr>
        <w:t xml:space="preserve">6. Pricing Intelligence</w:t>
      </w:r>
    </w:p>
    <w:p>
      <w:pPr>
        <w:spacing w:after="120"/>
        <w:jc w:val="both"/>
      </w:pPr>
      <w:r>
        <w:rPr>
          <w:rFonts w:ascii="Arial" w:cs="Arial" w:eastAsia="Arial" w:hAnsi="Arial"/>
          <w:b w:val="false"/>
          <w:bCs w:val="false"/>
          <w:i w:val="false"/>
          <w:iCs w:val="false"/>
          <w:color w:val="333333"/>
          <w:sz w:val="22"/>
          <w:szCs w:val="22"/>
        </w:rPr>
        <w:t xml:space="preserve">All four platforms use enterprise SaaS pricing that is quote-based and not publicly disclosed. The key differences lie in pricing philosophy and adoption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Notable Characteristics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 customised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public pricing. Varies by implementation complexity, deployment scale, and additional services.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TradeBeyond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SaaS subscription, module-based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charge for retailer and supplier connections (to drive adoption). Pricing based on company size and selected modules.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Per-service transparent + 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instant price quotes for individual services (visible upfront). QIMAone platform has two tiers (standard + advanced with Risk Radar).</w:t>
            </w:r>
          </w:p>
        </w:tc>
      </w:tr>
    </w:tbl>
    <w:p>
      <w:pPr>
        <w:spacing w:after="120"/>
      </w:pPr>
    </w:p>
    <w:p>
      <w:pPr>
        <w:spacing w:after="120"/>
        <w:jc w:val="both"/>
      </w:pPr>
      <w:r>
        <w:rPr>
          <w:rFonts w:ascii="Arial" w:cs="Arial" w:eastAsia="Arial" w:hAnsi="Arial"/>
          <w:b w:val="false"/>
          <w:bCs w:val="false"/>
          <w:i w:val="false"/>
          <w:iCs w:val="false"/>
          <w:color w:val="333333"/>
          <w:sz w:val="22"/>
          <w:szCs w:val="22"/>
        </w:rPr>
        <w:t xml:space="preserve">QIMA’s per-service transparent pricing is a genuine differentiator for tactical procurement. TradeBeyond’s free supplier/retailer connections are designed to reduce adoption friction, which could be significant in multi-tier deployments.</w:t>
      </w:r>
    </w:p>
    <w:p>
      <w:r>
        <w:br w:type="page"/>
      </w:r>
    </w:p>
    <w:p>
      <w:pPr>
        <w:pStyle w:val="Heading1"/>
        <w:spacing w:before="360" w:after="120"/>
      </w:pPr>
      <w:r>
        <w:rPr>
          <w:rFonts w:ascii="Arial" w:cs="Arial" w:eastAsia="Arial" w:hAnsi="Arial"/>
          <w:b/>
          <w:bCs/>
          <w:color w:val="1E2761"/>
          <w:sz w:val="36"/>
          <w:szCs w:val="36"/>
        </w:rPr>
        <w:t xml:space="preserve">7. Strategic Recommendations</w:t>
      </w:r>
    </w:p>
    <w:p>
      <w:pPr>
        <w:spacing w:after="120"/>
        <w:jc w:val="both"/>
      </w:pPr>
      <w:r>
        <w:rPr>
          <w:rFonts w:ascii="Arial" w:cs="Arial" w:eastAsia="Arial" w:hAnsi="Arial"/>
          <w:b/>
          <w:bCs/>
          <w:color w:val="333333"/>
          <w:sz w:val="22"/>
          <w:szCs w:val="22"/>
        </w:rPr>
        <w:t xml:space="preserve">Core messaging framework: </w:t>
      </w:r>
      <w:r>
        <w:rPr>
          <w:rFonts w:ascii="Arial" w:cs="Arial" w:eastAsia="Arial" w:hAnsi="Arial"/>
          <w:color w:val="333333"/>
          <w:sz w:val="22"/>
          <w:szCs w:val="22"/>
        </w:rPr>
        <w:t xml:space="preserve">“They have features. We have depth.”</w:t>
      </w:r>
    </w:p>
    <w:p>
      <w:pPr>
        <w:pStyle w:val="Heading2"/>
        <w:spacing w:before="240" w:after="120"/>
      </w:pPr>
      <w:r>
        <w:rPr>
          <w:rFonts w:ascii="Arial" w:cs="Arial" w:eastAsia="Arial" w:hAnsi="Arial"/>
          <w:b/>
          <w:bCs/>
          <w:color w:val="1E2761"/>
          <w:sz w:val="28"/>
          <w:szCs w:val="28"/>
        </w:rPr>
        <w:t xml:space="preserve">Claims That Remain Unique and Unchallenged</w:t>
      </w:r>
    </w:p>
    <w:p>
      <w:pPr>
        <w:pStyle w:val="ListParagraph"/>
        <w:numPr>
          <w:ilvl w:val="0"/>
          <w:numId w:val="7"/>
        </w:numPr>
        <w:spacing w:after="60"/>
      </w:pPr>
      <w:r>
        <w:rPr>
          <w:rFonts w:ascii="Arial" w:cs="Arial" w:eastAsia="Arial" w:hAnsi="Arial"/>
          <w:color w:val="333333"/>
          <w:sz w:val="22"/>
          <w:szCs w:val="22"/>
        </w:rPr>
        <w:t xml:space="preserve">Care Labelling AI — automated compliance labelling with no competitor equivalent</w:t>
      </w:r>
    </w:p>
    <w:p>
      <w:pPr>
        <w:pStyle w:val="ListParagraph"/>
        <w:numPr>
          <w:ilvl w:val="0"/>
          <w:numId w:val="7"/>
        </w:numPr>
        <w:spacing w:after="60"/>
      </w:pPr>
      <w:r>
        <w:rPr>
          <w:rFonts w:ascii="Arial" w:cs="Arial" w:eastAsia="Arial" w:hAnsi="Arial"/>
          <w:color w:val="333333"/>
          <w:sz w:val="22"/>
          <w:szCs w:val="22"/>
        </w:rPr>
        <w:t xml:space="preserve">Downstream Impact Visualisation — tracing how a change propagates through the supply chain</w:t>
      </w:r>
    </w:p>
    <w:p>
      <w:pPr>
        <w:pStyle w:val="ListParagraph"/>
        <w:numPr>
          <w:ilvl w:val="0"/>
          <w:numId w:val="7"/>
        </w:numPr>
        <w:spacing w:after="60"/>
      </w:pPr>
      <w:r>
        <w:rPr>
          <w:rFonts w:ascii="Arial" w:cs="Arial" w:eastAsia="Arial" w:hAnsi="Arial"/>
          <w:color w:val="333333"/>
          <w:sz w:val="22"/>
          <w:szCs w:val="22"/>
        </w:rPr>
        <w:t xml:space="preserve">Confidence Ranges — probability distributions, not point estimates</w:t>
      </w:r>
    </w:p>
    <w:p>
      <w:pPr>
        <w:pStyle w:val="ListParagraph"/>
        <w:numPr>
          <w:ilvl w:val="0"/>
          <w:numId w:val="7"/>
        </w:numPr>
        <w:spacing w:after="60"/>
      </w:pPr>
      <w:r>
        <w:rPr>
          <w:rFonts w:ascii="Arial" w:cs="Arial" w:eastAsia="Arial" w:hAnsi="Arial"/>
          <w:color w:val="333333"/>
          <w:sz w:val="22"/>
          <w:szCs w:val="22"/>
        </w:rPr>
        <w:t xml:space="preserve">Multi-framework Simultaneous Validation — bluesign + OEKO-TEX + ZDHC in a single view</w:t>
      </w:r>
    </w:p>
    <w:p>
      <w:pPr>
        <w:pStyle w:val="ListParagraph"/>
        <w:numPr>
          <w:ilvl w:val="0"/>
          <w:numId w:val="7"/>
        </w:numPr>
        <w:spacing w:after="60"/>
      </w:pPr>
      <w:r>
        <w:rPr>
          <w:rFonts w:ascii="Arial" w:cs="Arial" w:eastAsia="Arial" w:hAnsi="Arial"/>
          <w:color w:val="333333"/>
          <w:sz w:val="22"/>
          <w:szCs w:val="22"/>
        </w:rPr>
        <w:t xml:space="preserve">Scenario Simulator — “what if” modelling with confidence-driven outcomes</w:t>
      </w:r>
    </w:p>
    <w:p>
      <w:pPr>
        <w:pStyle w:val="ListParagraph"/>
        <w:numPr>
          <w:ilvl w:val="0"/>
          <w:numId w:val="7"/>
        </w:numPr>
        <w:spacing w:after="60"/>
      </w:pPr>
      <w:r>
        <w:rPr>
          <w:rFonts w:ascii="Arial" w:cs="Arial" w:eastAsia="Arial" w:hAnsi="Arial"/>
          <w:color w:val="333333"/>
          <w:sz w:val="22"/>
          <w:szCs w:val="22"/>
        </w:rPr>
        <w:t xml:space="preserve">Component N:M Linking — complex product structure mapping</w:t>
      </w:r>
    </w:p>
    <w:p>
      <w:pPr>
        <w:pStyle w:val="ListParagraph"/>
        <w:numPr>
          <w:ilvl w:val="0"/>
          <w:numId w:val="7"/>
        </w:numPr>
        <w:spacing w:after="60"/>
      </w:pPr>
      <w:r>
        <w:rPr>
          <w:rFonts w:ascii="Arial" w:cs="Arial" w:eastAsia="Arial" w:hAnsi="Arial"/>
          <w:color w:val="333333"/>
          <w:sz w:val="22"/>
          <w:szCs w:val="22"/>
        </w:rPr>
        <w:t xml:space="preserve">Graduated Autonomy Model — progressive AI trust calibration</w:t>
      </w:r>
    </w:p>
    <w:p>
      <w:pPr>
        <w:pStyle w:val="ListParagraph"/>
        <w:numPr>
          <w:ilvl w:val="0"/>
          <w:numId w:val="7"/>
        </w:numPr>
        <w:spacing w:after="60"/>
      </w:pPr>
      <w:r>
        <w:rPr>
          <w:rFonts w:ascii="Arial" w:cs="Arial" w:eastAsia="Arial" w:hAnsi="Arial"/>
          <w:color w:val="333333"/>
          <w:sz w:val="22"/>
          <w:szCs w:val="22"/>
        </w:rPr>
        <w:t xml:space="preserve">847 ML Features — multi-model ensemble for depth of analysis</w:t>
      </w:r>
    </w:p>
    <w:p>
      <w:pPr>
        <w:pStyle w:val="Heading2"/>
        <w:spacing w:before="240" w:after="120"/>
      </w:pPr>
      <w:r>
        <w:rPr>
          <w:rFonts w:ascii="Arial" w:cs="Arial" w:eastAsia="Arial" w:hAnsi="Arial"/>
          <w:b/>
          <w:bCs/>
          <w:color w:val="1E2761"/>
          <w:sz w:val="28"/>
          <w:szCs w:val="28"/>
        </w:rPr>
        <w:t xml:space="preserve">Claims to STOP Making</w:t>
      </w:r>
    </w:p>
    <w:p>
      <w:pPr>
        <w:pStyle w:val="ListParagraph"/>
        <w:numPr>
          <w:ilvl w:val="0"/>
          <w:numId w:val="8"/>
        </w:numPr>
        <w:spacing w:after="60"/>
      </w:pPr>
      <w:r>
        <w:rPr>
          <w:rFonts w:ascii="Arial" w:cs="Arial" w:eastAsia="Arial" w:hAnsi="Arial"/>
          <w:b/>
          <w:bCs/>
          <w:color w:val="333333"/>
          <w:sz w:val="22"/>
          <w:szCs w:val="22"/>
        </w:rPr>
        <w:t xml:space="preserve">“Inspectorio is a black box”</w:t>
      </w:r>
      <w:r>
        <w:rPr>
          <w:rFonts w:ascii="Arial" w:cs="Arial" w:eastAsia="Arial" w:hAnsi="Arial"/>
          <w:color w:val="333333"/>
          <w:sz w:val="22"/>
          <w:szCs w:val="22"/>
        </w:rPr>
        <w:t xml:space="preserve"> — Wrong. They cite source documents and provide referenced answers. Say instead: “They cite sources. We show the full reasoning chain.”</w:t>
      </w:r>
    </w:p>
    <w:p>
      <w:pPr>
        <w:pStyle w:val="ListParagraph"/>
        <w:numPr>
          <w:ilvl w:val="0"/>
          <w:numId w:val="8"/>
        </w:numPr>
        <w:spacing w:after="60"/>
      </w:pPr>
      <w:r>
        <w:rPr>
          <w:rFonts w:ascii="Arial" w:cs="Arial" w:eastAsia="Arial" w:hAnsi="Arial"/>
          <w:b/>
          <w:bCs/>
          <w:color w:val="333333"/>
          <w:sz w:val="22"/>
          <w:szCs w:val="22"/>
        </w:rPr>
        <w:t xml:space="preserve">“No competitor has DPP”</w:t>
      </w:r>
      <w:r>
        <w:rPr>
          <w:rFonts w:ascii="Arial" w:cs="Arial" w:eastAsia="Arial" w:hAnsi="Arial"/>
          <w:color w:val="333333"/>
          <w:sz w:val="22"/>
          <w:szCs w:val="22"/>
        </w:rPr>
        <w:t xml:space="preserve"> — Wrong. Inspectorio has the strongest explicit DPP positioning. Say instead: “We validate across multiple compliance frameworks simultaneously.”</w:t>
      </w:r>
    </w:p>
    <w:p>
      <w:pPr>
        <w:pStyle w:val="ListParagraph"/>
        <w:numPr>
          <w:ilvl w:val="0"/>
          <w:numId w:val="8"/>
        </w:numPr>
        <w:spacing w:after="60"/>
      </w:pPr>
      <w:r>
        <w:rPr>
          <w:rFonts w:ascii="Arial" w:cs="Arial" w:eastAsia="Arial" w:hAnsi="Arial"/>
          <w:b/>
          <w:bCs/>
          <w:color w:val="333333"/>
          <w:sz w:val="22"/>
          <w:szCs w:val="22"/>
        </w:rPr>
        <w:t xml:space="preserve">“TradeBeyond has no AI”</w:t>
      </w:r>
      <w:r>
        <w:rPr>
          <w:rFonts w:ascii="Arial" w:cs="Arial" w:eastAsia="Arial" w:hAnsi="Arial"/>
          <w:color w:val="333333"/>
          <w:sz w:val="22"/>
          <w:szCs w:val="22"/>
        </w:rPr>
        <w:t xml:space="preserve"> — Wrong. They have PO Risk Rating with ML and AI Chain of Custody. Say instead: “Their AI flags risk. Ours models what happens next.”</w:t>
      </w:r>
    </w:p>
    <w:p>
      <w:pPr>
        <w:pStyle w:val="Heading2"/>
        <w:spacing w:before="240" w:after="120"/>
      </w:pPr>
      <w:r>
        <w:rPr>
          <w:rFonts w:ascii="Arial" w:cs="Arial" w:eastAsia="Arial" w:hAnsi="Arial"/>
          <w:b/>
          <w:bCs/>
          <w:color w:val="1E2761"/>
          <w:sz w:val="28"/>
          <w:szCs w:val="28"/>
        </w:rPr>
        <w:t xml:space="preserve">Claims to REFRAME</w:t>
      </w:r>
    </w:p>
    <w:p>
      <w:pPr>
        <w:pStyle w:val="ListParagraph"/>
        <w:numPr>
          <w:ilvl w:val="0"/>
          <w:numId w:val="2"/>
        </w:numPr>
        <w:spacing w:after="60"/>
      </w:pPr>
      <w:r>
        <w:rPr>
          <w:rFonts w:ascii="Arial" w:cs="Arial" w:eastAsia="Arial" w:hAnsi="Arial"/>
          <w:b/>
          <w:bCs/>
          <w:color w:val="333333"/>
          <w:sz w:val="22"/>
          <w:szCs w:val="22"/>
        </w:rPr>
        <w:t xml:space="preserve">“We have AI” →</w:t>
      </w:r>
      <w:r>
        <w:rPr>
          <w:rFonts w:ascii="Arial" w:cs="Arial" w:eastAsia="Arial" w:hAnsi="Arial"/>
          <w:color w:val="333333"/>
          <w:sz w:val="22"/>
          <w:szCs w:val="22"/>
        </w:rPr>
        <w:t xml:space="preserve"> “We show the full reasoning chain with confidence ranges and downstream impact.”</w:t>
      </w:r>
    </w:p>
    <w:p>
      <w:pPr>
        <w:pStyle w:val="ListParagraph"/>
        <w:numPr>
          <w:ilvl w:val="0"/>
          <w:numId w:val="2"/>
        </w:numPr>
        <w:spacing w:after="60"/>
      </w:pPr>
      <w:r>
        <w:rPr>
          <w:rFonts w:ascii="Arial" w:cs="Arial" w:eastAsia="Arial" w:hAnsi="Arial"/>
          <w:b/>
          <w:bCs/>
          <w:color w:val="333333"/>
          <w:sz w:val="22"/>
          <w:szCs w:val="22"/>
        </w:rPr>
        <w:t xml:space="preserve">“DPP ready” →</w:t>
      </w:r>
      <w:r>
        <w:rPr>
          <w:rFonts w:ascii="Arial" w:cs="Arial" w:eastAsia="Arial" w:hAnsi="Arial"/>
          <w:color w:val="333333"/>
          <w:sz w:val="22"/>
          <w:szCs w:val="22"/>
        </w:rPr>
        <w:t xml:space="preserve"> “Architected for 2027 with simultaneous multi-framework validation.”</w:t>
      </w:r>
    </w:p>
    <w:p>
      <w:pPr>
        <w:pStyle w:val="Heading2"/>
        <w:spacing w:before="240" w:after="120"/>
      </w:pPr>
      <w:r>
        <w:rPr>
          <w:rFonts w:ascii="Arial" w:cs="Arial" w:eastAsia="Arial" w:hAnsi="Arial"/>
          <w:b/>
          <w:bCs/>
          <w:color w:val="1E2761"/>
          <w:sz w:val="28"/>
          <w:szCs w:val="28"/>
        </w:rPr>
        <w:t xml:space="preserve">Actionable Next Steps</w:t>
      </w:r>
    </w:p>
    <w:p>
      <w:pPr>
        <w:pStyle w:val="ListParagraph"/>
        <w:numPr>
          <w:ilvl w:val="0"/>
          <w:numId w:val="9"/>
        </w:numPr>
        <w:spacing w:after="80"/>
      </w:pPr>
      <w:r>
        <w:rPr>
          <w:rFonts w:ascii="Arial" w:cs="Arial" w:eastAsia="Arial" w:hAnsi="Arial"/>
          <w:b/>
          <w:bCs/>
          <w:color w:val="333333"/>
          <w:sz w:val="22"/>
          <w:szCs w:val="22"/>
        </w:rPr>
        <w:t xml:space="preserve">Audit all customer-facing materials </w:t>
      </w:r>
      <w:r>
        <w:rPr>
          <w:rFonts w:ascii="Arial" w:cs="Arial" w:eastAsia="Arial" w:hAnsi="Arial"/>
          <w:color w:val="333333"/>
          <w:sz w:val="22"/>
          <w:szCs w:val="22"/>
        </w:rPr>
        <w:t xml:space="preserve">for the false claims identified above (black box, no DPP, no AI). Replace with reframed messaging.</w:t>
      </w:r>
    </w:p>
    <w:p>
      <w:pPr>
        <w:pStyle w:val="ListParagraph"/>
        <w:numPr>
          <w:ilvl w:val="0"/>
          <w:numId w:val="9"/>
        </w:numPr>
        <w:spacing w:after="80"/>
      </w:pPr>
      <w:r>
        <w:rPr>
          <w:rFonts w:ascii="Arial" w:cs="Arial" w:eastAsia="Arial" w:hAnsi="Arial"/>
          <w:b/>
          <w:bCs/>
          <w:color w:val="333333"/>
          <w:sz w:val="22"/>
          <w:szCs w:val="22"/>
        </w:rPr>
        <w:t xml:space="preserve">Develop a sales-ready competitive fact matrix </w:t>
      </w:r>
      <w:r>
        <w:rPr>
          <w:rFonts w:ascii="Arial" w:cs="Arial" w:eastAsia="Arial" w:hAnsi="Arial"/>
          <w:color w:val="333333"/>
          <w:sz w:val="22"/>
          <w:szCs w:val="22"/>
        </w:rPr>
        <w:t xml:space="preserve">with source-backed claims that any account executive can defend under scrutiny.</w:t>
      </w:r>
    </w:p>
    <w:p>
      <w:pPr>
        <w:pStyle w:val="ListParagraph"/>
        <w:numPr>
          <w:ilvl w:val="0"/>
          <w:numId w:val="9"/>
        </w:numPr>
        <w:spacing w:after="80"/>
      </w:pPr>
      <w:r>
        <w:rPr>
          <w:rFonts w:ascii="Arial" w:cs="Arial" w:eastAsia="Arial" w:hAnsi="Arial"/>
          <w:b/>
          <w:bCs/>
          <w:color w:val="333333"/>
          <w:sz w:val="22"/>
          <w:szCs w:val="22"/>
        </w:rPr>
        <w:t xml:space="preserve">Position DPP as a multi-framework problem, </w:t>
      </w:r>
      <w:r>
        <w:rPr>
          <w:rFonts w:ascii="Arial" w:cs="Arial" w:eastAsia="Arial" w:hAnsi="Arial"/>
          <w:color w:val="333333"/>
          <w:sz w:val="22"/>
          <w:szCs w:val="22"/>
        </w:rPr>
        <w:t xml:space="preserve">not a tracking problem. Inspectorio tracks. CARLOS validates across frameworks simultaneously.</w:t>
      </w:r>
    </w:p>
    <w:p>
      <w:pPr>
        <w:pStyle w:val="ListParagraph"/>
        <w:numPr>
          <w:ilvl w:val="0"/>
          <w:numId w:val="9"/>
        </w:numPr>
        <w:spacing w:after="80"/>
      </w:pPr>
      <w:r>
        <w:rPr>
          <w:rFonts w:ascii="Arial" w:cs="Arial" w:eastAsia="Arial" w:hAnsi="Arial"/>
          <w:b/>
          <w:bCs/>
          <w:color w:val="333333"/>
          <w:sz w:val="22"/>
          <w:szCs w:val="22"/>
        </w:rPr>
        <w:t xml:space="preserve">Benchmark explainability in live demos. </w:t>
      </w:r>
      <w:r>
        <w:rPr>
          <w:rFonts w:ascii="Arial" w:cs="Arial" w:eastAsia="Arial" w:hAnsi="Arial"/>
          <w:color w:val="333333"/>
          <w:sz w:val="22"/>
          <w:szCs w:val="22"/>
        </w:rPr>
        <w:t xml:space="preserve">Show a reasoning chain with confidence ranges next to Inspectorio’s citation-level output.</w:t>
      </w:r>
    </w:p>
    <w:p>
      <w:pPr>
        <w:pStyle w:val="ListParagraph"/>
        <w:numPr>
          <w:ilvl w:val="0"/>
          <w:numId w:val="9"/>
        </w:numPr>
        <w:spacing w:after="80"/>
      </w:pPr>
      <w:r>
        <w:rPr>
          <w:rFonts w:ascii="Arial" w:cs="Arial" w:eastAsia="Arial" w:hAnsi="Arial"/>
          <w:b/>
          <w:bCs/>
          <w:color w:val="333333"/>
          <w:sz w:val="22"/>
          <w:szCs w:val="22"/>
        </w:rPr>
        <w:t xml:space="preserve">Monitor Inspectorio’s roadmap quarterly. </w:t>
      </w:r>
      <w:r>
        <w:rPr>
          <w:rFonts w:ascii="Arial" w:cs="Arial" w:eastAsia="Arial" w:hAnsi="Arial"/>
          <w:color w:val="333333"/>
          <w:sz w:val="22"/>
          <w:szCs w:val="22"/>
        </w:rPr>
        <w:t xml:space="preserve">They are the fastest-moving competitor and the most likely to close the gap on reasoning depth.</w:t>
      </w:r>
    </w:p>
    <w:p>
      <w:r>
        <w:br w:type="page"/>
      </w:r>
    </w:p>
    <w:p>
      <w:pPr>
        <w:pStyle w:val="Heading1"/>
        <w:spacing w:before="360" w:after="120"/>
      </w:pPr>
      <w:r>
        <w:rPr>
          <w:rFonts w:ascii="Arial" w:cs="Arial" w:eastAsia="Arial" w:hAnsi="Arial"/>
          <w:b/>
          <w:bCs/>
          <w:color w:val="1E2761"/>
          <w:sz w:val="36"/>
          <w:szCs w:val="36"/>
        </w:rPr>
        <w:t xml:space="preserve">8. References</w:t>
      </w:r>
    </w:p>
    <w:p>
      <w:pPr>
        <w:spacing w:after="120"/>
        <w:jc w:val="both"/>
      </w:pPr>
      <w:r>
        <w:rPr>
          <w:rFonts w:ascii="Arial" w:cs="Arial" w:eastAsia="Arial" w:hAnsi="Arial"/>
          <w:b w:val="false"/>
          <w:bCs w:val="false"/>
          <w:i w:val="false"/>
          <w:iCs w:val="false"/>
          <w:color w:val="333333"/>
          <w:sz w:val="22"/>
          <w:szCs w:val="22"/>
        </w:rPr>
        <w:t xml:space="preserve">This analysis is based on 24 cited sources, primarily from company websites, product announcements, and industry publications reviewed in January–February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6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 Unveils Next-Generation Supply Chain Network Intelligence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NRF 2026 launch</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 vs TradeBeyond: Supply Chain &amp; Compliance Comparison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Pricing comparison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 Testing, Inspection, Certification, Compliance Solutions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Company overview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 at 20: Shaping the Future of TIC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20th anniversary, strategy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 Powers $340B in Customer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Scale metrics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TradeBeyond Acquires Pivot88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Acquisition details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 20th Anniversary: 20 Years of Innovation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Digital platform shift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TradeBeyond: Intelligent End-to-End Supply Chain Platform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Platform overview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 Unveils Paramo, the Intelligence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Paramo AI launch</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Predictive Quality Intelligence for Modern Supply Chains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Paramo AI copilots detail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AI-powered capabilities from TradeBeyond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 Risk Rating launch</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AI-Powered Supply Chain Platform (TradeBeyond)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Chain of Custody, chatbot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Smart Risk Intelligence Platform (QIMA Risk Radar)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Risk Radar features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AI-Powered Platform to Streamline Your Supply Chain (QIMA)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myQIMA, transparent pricing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2026 marks the start of the Digital Product Passport in the EU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DPP timeline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Digital Product Passport (DPP) overview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DPP regulatory framework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Digital Product Passports Are Here. Is Your Brand Ready? (Inspectorio)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Inspectorio DPP claims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Siloed Data Unified: Digital Product Passport (Inspectorio webinar)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DPP data requirements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Unlocking Data Insights in Real Time (Pivot88)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Nth-tier mapping, AI capabilities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Environmental Sustainability &amp; EU Regulations (QIMA webinar)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DPP webinar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Key Changes, Compliance, and Implementation (QIMA)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PPWR compliance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Supply Chain Transparency and Traceability Solutions (QIMA)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Traceability portfolio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Artificial Intelligence (Inspectorio — Paramo NLP)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Conversational AI details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QIMAone QMS Software Pricing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Platform tier pricing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CARLOS Competitive Intelligence Brief — February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TIC Platform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761"/>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E276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2026-02-10T21:40:30.674Z</dcterms:created>
  <dcterms:modified xsi:type="dcterms:W3CDTF">2026-02-10T21:40:30.680Z</dcterms:modified>
</cp:coreProperties>
</file>

<file path=docProps/custom.xml><?xml version="1.0" encoding="utf-8"?>
<Properties xmlns="http://schemas.openxmlformats.org/officeDocument/2006/custom-properties" xmlns:vt="http://schemas.openxmlformats.org/officeDocument/2006/docPropsVTypes"/>
</file>