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100" w:before="400"/>
        <w:jc w:val="center"/>
      </w:pPr>
      <w:r>
        <w:rPr>
          <w:rFonts w:ascii="Arial" w:cs="Arial" w:eastAsia="Arial" w:hAnsi="Arial"/>
          <w:b/>
          <w:bCs/>
          <w:color w:val="7B2FBE"/>
          <w:sz w:val="52"/>
          <w:szCs w:val="52"/>
        </w:rPr>
        <w:t xml:space="preserve">FUNDACIÓN PEGASUS</w:t>
      </w:r>
    </w:p>
    <w:p>
      <w:pPr>
        <w:spacing w:after="60" w:before="60"/>
        <w:jc w:val="center"/>
      </w:pPr>
      <w:r>
        <w:rPr>
          <w:rFonts w:ascii="Arial" w:cs="Arial" w:eastAsia="Arial" w:hAnsi="Arial"/>
          <w:b/>
          <w:bCs/>
          <w:color w:val="1A1A1A"/>
          <w:sz w:val="36"/>
          <w:szCs w:val="36"/>
        </w:rPr>
        <w:t xml:space="preserve">MANUAL INTEGRAL DE ORGANIZACIÓN</w:t>
      </w:r>
    </w:p>
    <w:p>
      <w:pPr>
        <w:spacing w:after="40" w:before="40"/>
      </w:pPr>
      <w:r>
        <w:t xml:space="preserve"/>
      </w:r>
    </w:p>
    <w:p>
      <w:pPr>
        <w:spacing w:after="60" w:before="60"/>
        <w:jc w:val="center"/>
      </w:pPr>
      <w:r>
        <w:rPr>
          <w:rFonts w:ascii="Arial" w:cs="Arial" w:eastAsia="Arial" w:hAnsi="Arial"/>
          <w:b/>
          <w:bCs/>
          <w:i/>
          <w:iCs/>
          <w:color w:val="555555"/>
          <w:sz w:val="26"/>
          <w:szCs w:val="26"/>
        </w:rPr>
        <w:t xml:space="preserve">"Lo mío no es normal, pero lo tuyo tampoco."</w:t>
      </w:r>
    </w:p>
    <w:p>
      <w:pPr>
        <w:spacing w:after="40" w:before="40"/>
      </w:pPr>
      <w:r>
        <w:t xml:space="preserve"/>
      </w:r>
    </w:p>
    <w:p>
      <w:pPr>
        <w:spacing w:after="60" w:before="200"/>
        <w:jc w:val="center"/>
      </w:pPr>
      <w:r>
        <w:rPr>
          <w:rFonts w:ascii="Arial" w:cs="Arial" w:eastAsia="Arial" w:hAnsi="Arial"/>
          <w:color w:val="555555"/>
          <w:sz w:val="24"/>
          <w:szCs w:val="24"/>
        </w:rPr>
        <w:t xml:space="preserve">Versión 10.0 — Abril 2026</w:t>
      </w:r>
    </w:p>
    <w:p>
      <w:pPr>
        <w:spacing w:after="40" w:before="40"/>
        <w:jc w:val="center"/>
      </w:pPr>
      <w:r>
        <w:rPr>
          <w:rFonts w:ascii="Arial" w:cs="Arial" w:eastAsia="Arial" w:hAnsi="Arial"/>
          <w:b/>
          <w:bCs/>
          <w:color w:val="C0392B"/>
          <w:sz w:val="22"/>
          <w:szCs w:val="22"/>
        </w:rPr>
        <w:t xml:space="preserve">DOCUMENTO CONFIDENCIAL</w:t>
      </w:r>
    </w:p>
    <w:p>
      <w:r>
        <w:br w:type="page"/>
      </w:r>
    </w:p>
    <w:p>
      <w:pPr>
        <w:pStyle w:val="Heading1"/>
        <w:pBdr>
          <w:bottom w:val="single" w:color="7B2FBE" w:sz="4"/>
        </w:pBdr>
        <w:spacing w:after="200" w:before="400"/>
      </w:pPr>
      <w:r>
        <w:rPr>
          <w:rFonts w:ascii="Arial" w:cs="Arial" w:eastAsia="Arial" w:hAnsi="Arial"/>
          <w:b/>
          <w:bCs/>
          <w:color w:val="7B2FBE"/>
          <w:sz w:val="36"/>
          <w:szCs w:val="36"/>
        </w:rPr>
        <w:t xml:space="preserve">ÍNDICE DE CONTENIDOS</w:t>
      </w:r>
    </w:p>
    <w:p>
      <w:pPr>
        <w:spacing w:after="60" w:before="60"/>
        <w:jc w:val="left"/>
      </w:pPr>
      <w:r>
        <w:rPr>
          <w:rFonts w:ascii="Arial" w:cs="Arial" w:eastAsia="Arial" w:hAnsi="Arial"/>
          <w:b/>
          <w:bCs/>
          <w:i w:val="false"/>
          <w:iCs w:val="false"/>
          <w:color w:val="1A1A1A"/>
          <w:sz w:val="24"/>
          <w:szCs w:val="24"/>
        </w:rPr>
        <w:t xml:space="preserve">PARTE I — QUIÉNES SOMOS</w:t>
      </w:r>
    </w:p>
    <w:p>
      <w:pPr>
        <w:spacing w:after="60" w:before="60"/>
        <w:jc w:val="left"/>
      </w:pPr>
      <w:r>
        <w:rPr>
          <w:rFonts w:ascii="Arial" w:cs="Arial" w:eastAsia="Arial" w:hAnsi="Arial"/>
          <w:b w:val="false"/>
          <w:bCs w:val="false"/>
          <w:i w:val="false"/>
          <w:iCs w:val="false"/>
          <w:color w:val="1A1A1A"/>
          <w:sz w:val="22"/>
          <w:szCs w:val="22"/>
        </w:rPr>
        <w:t xml:space="preserve">1. Origen y Filosofía Fundacional</w:t>
      </w:r>
    </w:p>
    <w:p>
      <w:pPr>
        <w:spacing w:after="60" w:before="60"/>
        <w:jc w:val="left"/>
      </w:pPr>
      <w:r>
        <w:rPr>
          <w:rFonts w:ascii="Arial" w:cs="Arial" w:eastAsia="Arial" w:hAnsi="Arial"/>
          <w:b w:val="false"/>
          <w:bCs w:val="false"/>
          <w:i w:val="false"/>
          <w:iCs w:val="false"/>
          <w:color w:val="1A1A1A"/>
          <w:sz w:val="22"/>
          <w:szCs w:val="22"/>
        </w:rPr>
        <w:t xml:space="preserve">2. Identidad Corporativa y Cultura</w:t>
      </w:r>
    </w:p>
    <w:p>
      <w:pPr>
        <w:spacing w:after="60" w:before="60"/>
        <w:jc w:val="left"/>
      </w:pPr>
      <w:r>
        <w:rPr>
          <w:rFonts w:ascii="Arial" w:cs="Arial" w:eastAsia="Arial" w:hAnsi="Arial"/>
          <w:b w:val="false"/>
          <w:bCs w:val="false"/>
          <w:i w:val="false"/>
          <w:iCs w:val="false"/>
          <w:color w:val="1A1A1A"/>
          <w:sz w:val="22"/>
          <w:szCs w:val="22"/>
        </w:rPr>
        <w:t xml:space="preserve">3. Estructura Organizativa</w:t>
      </w:r>
    </w:p>
    <w:p>
      <w:pPr>
        <w:spacing w:after="60" w:before="60"/>
        <w:jc w:val="left"/>
      </w:pPr>
      <w:r>
        <w:rPr>
          <w:rFonts w:ascii="Arial" w:cs="Arial" w:eastAsia="Arial" w:hAnsi="Arial"/>
          <w:b w:val="false"/>
          <w:bCs w:val="false"/>
          <w:i w:val="false"/>
          <w:iCs w:val="false"/>
          <w:color w:val="1A1A1A"/>
          <w:sz w:val="22"/>
          <w:szCs w:val="22"/>
        </w:rPr>
        <w:t xml:space="preserve">4. Reconocimientos, Presencia Pública y Alianzas</w:t>
      </w:r>
    </w:p>
    <w:p>
      <w:pPr>
        <w:spacing w:after="40" w:before="40"/>
      </w:pPr>
      <w:r>
        <w:t xml:space="preserve"/>
      </w:r>
    </w:p>
    <w:p>
      <w:pPr>
        <w:spacing w:after="60" w:before="60"/>
        <w:jc w:val="left"/>
      </w:pPr>
      <w:r>
        <w:rPr>
          <w:rFonts w:ascii="Arial" w:cs="Arial" w:eastAsia="Arial" w:hAnsi="Arial"/>
          <w:b/>
          <w:bCs/>
          <w:i w:val="false"/>
          <w:iCs w:val="false"/>
          <w:color w:val="1A1A1A"/>
          <w:sz w:val="24"/>
          <w:szCs w:val="24"/>
        </w:rPr>
        <w:t xml:space="preserve">PARTE II — QUÉ HACEMOS</w:t>
      </w:r>
    </w:p>
    <w:p>
      <w:pPr>
        <w:spacing w:after="60" w:before="60"/>
        <w:jc w:val="left"/>
      </w:pPr>
      <w:r>
        <w:rPr>
          <w:rFonts w:ascii="Arial" w:cs="Arial" w:eastAsia="Arial" w:hAnsi="Arial"/>
          <w:b w:val="false"/>
          <w:bCs w:val="false"/>
          <w:i w:val="false"/>
          <w:iCs w:val="false"/>
          <w:color w:val="1A1A1A"/>
          <w:sz w:val="22"/>
          <w:szCs w:val="22"/>
        </w:rPr>
        <w:t xml:space="preserve">5. Terapia Para Todos (TPT)</w:t>
      </w:r>
    </w:p>
    <w:p>
      <w:pPr>
        <w:spacing w:after="60" w:before="60"/>
        <w:jc w:val="left"/>
      </w:pPr>
      <w:r>
        <w:rPr>
          <w:rFonts w:ascii="Arial" w:cs="Arial" w:eastAsia="Arial" w:hAnsi="Arial"/>
          <w:b w:val="false"/>
          <w:bCs w:val="false"/>
          <w:i w:val="false"/>
          <w:iCs w:val="false"/>
          <w:color w:val="555555"/>
          <w:sz w:val="22"/>
          <w:szCs w:val="22"/>
        </w:rPr>
        <w:t xml:space="preserve">    5.1–5.18 [Operativa, económica y de captación — igual que V9]</w:t>
      </w:r>
    </w:p>
    <w:p>
      <w:pPr>
        <w:spacing w:after="60" w:before="60"/>
        <w:jc w:val="left"/>
      </w:pPr>
      <w:r>
        <w:rPr>
          <w:rFonts w:ascii="Arial" w:cs="Arial" w:eastAsia="Arial" w:hAnsi="Arial"/>
          <w:b/>
          <w:bCs/>
          <w:i w:val="false"/>
          <w:iCs w:val="false"/>
          <w:color w:val="7B2FBE"/>
          <w:sz w:val="22"/>
          <w:szCs w:val="22"/>
        </w:rPr>
        <w:t xml:space="preserve">    5.19 Metodología de Intervención en TPT  ★ NUEVO</w:t>
      </w:r>
    </w:p>
    <w:p>
      <w:pPr>
        <w:spacing w:after="60" w:before="60"/>
        <w:jc w:val="left"/>
      </w:pPr>
      <w:r>
        <w:rPr>
          <w:rFonts w:ascii="Arial" w:cs="Arial" w:eastAsia="Arial" w:hAnsi="Arial"/>
          <w:b w:val="false"/>
          <w:bCs w:val="false"/>
          <w:i w:val="false"/>
          <w:iCs w:val="false"/>
          <w:color w:val="1A1A1A"/>
          <w:sz w:val="22"/>
          <w:szCs w:val="22"/>
        </w:rPr>
        <w:t xml:space="preserve">6. Inclusive Sport (IS)</w:t>
      </w:r>
    </w:p>
    <w:p>
      <w:pPr>
        <w:spacing w:after="60" w:before="60"/>
        <w:jc w:val="left"/>
      </w:pPr>
      <w:r>
        <w:rPr>
          <w:rFonts w:ascii="Arial" w:cs="Arial" w:eastAsia="Arial" w:hAnsi="Arial"/>
          <w:b w:val="false"/>
          <w:bCs w:val="false"/>
          <w:i w:val="false"/>
          <w:iCs w:val="false"/>
          <w:color w:val="555555"/>
          <w:sz w:val="22"/>
          <w:szCs w:val="22"/>
        </w:rPr>
        <w:t xml:space="preserve">    6.1–6.9 [Operativa, económica y de impacto — igual que V9]</w:t>
      </w:r>
    </w:p>
    <w:p>
      <w:pPr>
        <w:spacing w:after="60" w:before="60"/>
        <w:jc w:val="left"/>
      </w:pPr>
      <w:r>
        <w:rPr>
          <w:rFonts w:ascii="Arial" w:cs="Arial" w:eastAsia="Arial" w:hAnsi="Arial"/>
          <w:b/>
          <w:bCs/>
          <w:i w:val="false"/>
          <w:iCs w:val="false"/>
          <w:color w:val="7B2FBE"/>
          <w:sz w:val="22"/>
          <w:szCs w:val="22"/>
        </w:rPr>
        <w:t xml:space="preserve">    6.10 Metodología de Intervención en IS  ★ NUEVO</w:t>
      </w:r>
    </w:p>
    <w:p>
      <w:pPr>
        <w:spacing w:after="60" w:before="60"/>
        <w:jc w:val="left"/>
      </w:pPr>
      <w:r>
        <w:rPr>
          <w:rFonts w:ascii="Arial" w:cs="Arial" w:eastAsia="Arial" w:hAnsi="Arial"/>
          <w:b w:val="false"/>
          <w:bCs w:val="false"/>
          <w:i w:val="false"/>
          <w:iCs w:val="false"/>
          <w:color w:val="1A1A1A"/>
          <w:sz w:val="22"/>
          <w:szCs w:val="22"/>
        </w:rPr>
        <w:t xml:space="preserve">7. Indiferente: Consultoría de Diversidad e Inclusión</w:t>
      </w:r>
    </w:p>
    <w:p>
      <w:pPr>
        <w:spacing w:after="60" w:before="60"/>
        <w:jc w:val="left"/>
      </w:pPr>
      <w:r>
        <w:rPr>
          <w:rFonts w:ascii="Arial" w:cs="Arial" w:eastAsia="Arial" w:hAnsi="Arial"/>
          <w:b w:val="false"/>
          <w:bCs w:val="false"/>
          <w:i w:val="false"/>
          <w:iCs w:val="false"/>
          <w:color w:val="1A1A1A"/>
          <w:sz w:val="22"/>
          <w:szCs w:val="22"/>
        </w:rPr>
        <w:t xml:space="preserve">8. Únete al Flow / Restauración Inclusiva</w:t>
      </w:r>
    </w:p>
    <w:p>
      <w:pPr>
        <w:spacing w:after="40" w:before="40"/>
      </w:pPr>
      <w:r>
        <w:t xml:space="preserve"/>
      </w:r>
    </w:p>
    <w:p>
      <w:pPr>
        <w:spacing w:after="60" w:before="60"/>
        <w:jc w:val="left"/>
      </w:pPr>
      <w:r>
        <w:rPr>
          <w:rFonts w:ascii="Arial" w:cs="Arial" w:eastAsia="Arial" w:hAnsi="Arial"/>
          <w:b/>
          <w:bCs/>
          <w:i w:val="false"/>
          <w:iCs w:val="false"/>
          <w:color w:val="1A1A1A"/>
          <w:sz w:val="24"/>
          <w:szCs w:val="24"/>
        </w:rPr>
        <w:t xml:space="preserve">PARTE III — CÓMO SOSTENEMOS</w:t>
      </w:r>
    </w:p>
    <w:p>
      <w:pPr>
        <w:spacing w:after="60" w:before="60"/>
        <w:jc w:val="left"/>
      </w:pPr>
      <w:r>
        <w:rPr>
          <w:rFonts w:ascii="Arial" w:cs="Arial" w:eastAsia="Arial" w:hAnsi="Arial"/>
          <w:b w:val="false"/>
          <w:bCs w:val="false"/>
          <w:i w:val="false"/>
          <w:iCs w:val="false"/>
          <w:color w:val="1A1A1A"/>
          <w:sz w:val="22"/>
          <w:szCs w:val="22"/>
        </w:rPr>
        <w:t xml:space="preserve">9. Modelo Económico y Financiero</w:t>
      </w:r>
    </w:p>
    <w:p>
      <w:pPr>
        <w:spacing w:after="60" w:before="60"/>
        <w:jc w:val="left"/>
      </w:pPr>
      <w:r>
        <w:rPr>
          <w:rFonts w:ascii="Arial" w:cs="Arial" w:eastAsia="Arial" w:hAnsi="Arial"/>
          <w:b w:val="false"/>
          <w:bCs w:val="false"/>
          <w:i w:val="false"/>
          <w:iCs w:val="false"/>
          <w:color w:val="1A1A1A"/>
          <w:sz w:val="22"/>
          <w:szCs w:val="22"/>
        </w:rPr>
        <w:t xml:space="preserve">10. Modelo de Relaciones Institucionales</w:t>
      </w:r>
    </w:p>
    <w:p>
      <w:pPr>
        <w:spacing w:after="40" w:before="40"/>
      </w:pPr>
      <w:r>
        <w:t xml:space="preserve"/>
      </w:r>
    </w:p>
    <w:p>
      <w:pPr>
        <w:spacing w:after="60" w:before="60"/>
        <w:jc w:val="left"/>
      </w:pPr>
      <w:r>
        <w:rPr>
          <w:rFonts w:ascii="Arial" w:cs="Arial" w:eastAsia="Arial" w:hAnsi="Arial"/>
          <w:b/>
          <w:bCs/>
          <w:i w:val="false"/>
          <w:iCs w:val="false"/>
          <w:color w:val="1A1A1A"/>
          <w:sz w:val="24"/>
          <w:szCs w:val="24"/>
        </w:rPr>
        <w:t xml:space="preserve">PARTE IV — DÓNDE VAMOS</w:t>
      </w:r>
    </w:p>
    <w:p>
      <w:pPr>
        <w:spacing w:after="60" w:before="60"/>
        <w:jc w:val="left"/>
      </w:pPr>
      <w:r>
        <w:rPr>
          <w:rFonts w:ascii="Arial" w:cs="Arial" w:eastAsia="Arial" w:hAnsi="Arial"/>
          <w:b w:val="false"/>
          <w:bCs w:val="false"/>
          <w:i w:val="false"/>
          <w:iCs w:val="false"/>
          <w:color w:val="1A1A1A"/>
          <w:sz w:val="22"/>
          <w:szCs w:val="22"/>
        </w:rPr>
        <w:t xml:space="preserve">11. Visión de Futuro y Retos Estratégicos</w:t>
      </w:r>
    </w:p>
    <w:p>
      <w:pPr>
        <w:spacing w:after="60" w:before="60"/>
        <w:jc w:val="left"/>
      </w:pPr>
      <w:r>
        <w:rPr>
          <w:rFonts w:ascii="Arial" w:cs="Arial" w:eastAsia="Arial" w:hAnsi="Arial"/>
          <w:b w:val="false"/>
          <w:bCs w:val="false"/>
          <w:i w:val="false"/>
          <w:iCs w:val="false"/>
          <w:color w:val="1A1A1A"/>
          <w:sz w:val="22"/>
          <w:szCs w:val="22"/>
        </w:rPr>
        <w:t xml:space="preserve">12. Aprendizajes Clave y Puntos Ciegos</w:t>
      </w:r>
    </w:p>
    <w:p>
      <w:pPr>
        <w:spacing w:after="40" w:before="40"/>
      </w:pPr>
      <w:r>
        <w:t xml:space="preserve"/>
      </w:r>
    </w:p>
    <w:p>
      <w:pPr>
        <w:spacing w:after="60" w:before="60"/>
        <w:jc w:val="left"/>
      </w:pPr>
      <w:r>
        <w:rPr>
          <w:rFonts w:ascii="Arial" w:cs="Arial" w:eastAsia="Arial" w:hAnsi="Arial"/>
          <w:b/>
          <w:bCs/>
          <w:i w:val="false"/>
          <w:iCs w:val="false"/>
          <w:color w:val="1A1A1A"/>
          <w:sz w:val="24"/>
          <w:szCs w:val="24"/>
        </w:rPr>
        <w:t xml:space="preserve">PARTE V — REFERENCIA</w:t>
      </w:r>
    </w:p>
    <w:p>
      <w:pPr>
        <w:spacing w:after="60" w:before="60"/>
        <w:jc w:val="left"/>
      </w:pPr>
      <w:r>
        <w:rPr>
          <w:rFonts w:ascii="Arial" w:cs="Arial" w:eastAsia="Arial" w:hAnsi="Arial"/>
          <w:b w:val="false"/>
          <w:bCs w:val="false"/>
          <w:i w:val="false"/>
          <w:iCs w:val="false"/>
          <w:color w:val="1A1A1A"/>
          <w:sz w:val="22"/>
          <w:szCs w:val="22"/>
        </w:rPr>
        <w:t xml:space="preserve">13. Glosario y Términos Clave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FB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PARTE I — QUIÉNES SOMOS</w:t>
            </w:r>
          </w:p>
        </w:tc>
      </w:tr>
    </w:tbl>
    <w:p>
      <w:pPr>
        <w:spacing w:after="40" w:before="40"/>
      </w:pPr>
      <w:r>
        <w:t xml:space="preserve"/>
      </w:r>
    </w:p>
    <w:p>
      <w:pPr>
        <w:pStyle w:val="Heading1"/>
        <w:pBdr>
          <w:bottom w:val="single" w:color="7B2FBE" w:sz="4"/>
        </w:pBdr>
        <w:spacing w:after="200" w:before="400"/>
      </w:pPr>
      <w:r>
        <w:rPr>
          <w:rFonts w:ascii="Arial" w:cs="Arial" w:eastAsia="Arial" w:hAnsi="Arial"/>
          <w:b/>
          <w:bCs/>
          <w:color w:val="7B2FBE"/>
          <w:sz w:val="36"/>
          <w:szCs w:val="36"/>
        </w:rPr>
        <w:t xml:space="preserve">1. ORIGEN Y FILOSOFÍA FUNDACIONAL</w:t>
      </w:r>
    </w:p>
    <w:p>
      <w:pPr>
        <w:pStyle w:val="Heading2"/>
        <w:spacing w:after="140" w:before="280"/>
      </w:pPr>
      <w:r>
        <w:rPr>
          <w:rFonts w:ascii="Arial" w:cs="Arial" w:eastAsia="Arial" w:hAnsi="Arial"/>
          <w:b/>
          <w:bCs/>
          <w:color w:val="2E86C1"/>
          <w:sz w:val="28"/>
          <w:szCs w:val="28"/>
        </w:rPr>
        <w:t xml:space="preserve">1.1 La historia de David Rodríguez</w:t>
      </w:r>
    </w:p>
    <w:p>
      <w:pPr>
        <w:spacing w:after="60" w:before="60"/>
        <w:jc w:val="left"/>
      </w:pPr>
      <w:r>
        <w:rPr>
          <w:rFonts w:ascii="Arial" w:cs="Arial" w:eastAsia="Arial" w:hAnsi="Arial"/>
          <w:b w:val="false"/>
          <w:bCs w:val="false"/>
          <w:i w:val="false"/>
          <w:iCs w:val="false"/>
          <w:color w:val="1A1A1A"/>
          <w:sz w:val="22"/>
          <w:szCs w:val="22"/>
        </w:rPr>
        <w:t xml:space="preserve">Fundación Pegasus nace de la experiencia vital de David Rodríguez, nacido en Arganda del Rey con diparesia espástica, una condición que dificulta su forma de andar y su condición física general. Pero lo que más marcó la vida de David no fue su limitación física, sino algo mucho más profundo e invisible: el miedo.</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De niño, David sintió el rechazo de una sociedad que no acepta lo diferente porque teme lo que no comprende. Aprendió a adaptarse poniéndose distintas máscaras: en ocasiones el 'pobrecito', dependiente de la ayuda de los demás; en otras el 'campeón', autosuficiente y exitoso pese a las dificultades. Ninguna de esas máscaras le acercaba a quien realmente era.</w:t>
      </w:r>
    </w:p>
    <w:p>
      <w:pPr>
        <w:spacing w:after="40" w:before="40"/>
      </w:pPr>
      <w:r>
        <w:t xml:space="preserve"/>
      </w:r>
    </w:p>
    <w:p>
      <w:pPr>
        <w:spacing w:after="120" w:before="120"/>
        <w:ind w:left="720"/>
      </w:pPr>
      <w:r>
        <w:rPr>
          <w:rFonts w:ascii="Arial" w:cs="Arial" w:eastAsia="Arial" w:hAnsi="Arial"/>
          <w:b/>
          <w:bCs/>
          <w:i/>
          <w:iCs/>
          <w:color w:val="7B2FBE"/>
          <w:sz w:val="22"/>
          <w:szCs w:val="22"/>
        </w:rPr>
        <w:t xml:space="preserve">"Me di cuenta de que había conseguido ser aceptado, pero a costa de no ser yo mismo."</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Sus padres le metieron en fisioterapia desde pequeño, con el objetivo de corregir su forma de andar. David sabía que nunca iba a andar recto, y sin embargo someterse a ese proceso normalizador le generaba un sufrimiento enorme. No era el dolor físico lo que le dañaba. Era el mensaje implícito: 'tal como eres, no eres suficiente. Hay que arreglarte.'</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De joven, David comprende que lo que realmente le limita no es su forma de andar, sino el miedo a ser rechazado. Se da cuenta de que el miedo no solo le paraliza a él, sino a toda la sociedad. Es este miedo, profundo y paralizante, el que David reconoce como la verdadera discapacidad del ser humano. Y así nace Fundación Pegasus.</w:t>
      </w:r>
    </w:p>
    <w:p>
      <w:pPr>
        <w:pStyle w:val="Heading2"/>
        <w:spacing w:after="140" w:before="280"/>
      </w:pPr>
      <w:r>
        <w:rPr>
          <w:rFonts w:ascii="Arial" w:cs="Arial" w:eastAsia="Arial" w:hAnsi="Arial"/>
          <w:b/>
          <w:bCs/>
          <w:color w:val="2E86C1"/>
          <w:sz w:val="28"/>
          <w:szCs w:val="28"/>
        </w:rPr>
        <w:t xml:space="preserve">1.2 La tesis fundacional: el miedo como verdadera discapacidad</w:t>
      </w:r>
    </w:p>
    <w:p>
      <w:pPr>
        <w:spacing w:after="60" w:before="60"/>
        <w:jc w:val="left"/>
      </w:pPr>
      <w:r>
        <w:rPr>
          <w:rFonts w:ascii="Arial" w:cs="Arial" w:eastAsia="Arial" w:hAnsi="Arial"/>
          <w:b w:val="false"/>
          <w:bCs w:val="false"/>
          <w:i w:val="false"/>
          <w:iCs w:val="false"/>
          <w:color w:val="1A1A1A"/>
          <w:sz w:val="22"/>
          <w:szCs w:val="22"/>
        </w:rPr>
        <w:t xml:space="preserve">Fundación Pegasus es, según su propia definición, la primera entidad del mundo que no lucha contra una enfermedad ni contra un diagnóstico, sino contra la verdadera discapacidad del ser humano: el miedo.</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El miedo nos iguala. No importa si andas raro, si no hablas bien, o si tienes dos másteres y una hipoteca. Todos, en algún momento, hemos sentido miedo al rechazo, a la soledad, al qué dirán, al fracaso, a no encajar, a perder a alguien.</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Esta tesis tiene una consecuencia estratégica poderosa: Pegasus no es solo una fundación para personas con discapacidad. Es un movimiento de acceso universal. La discapacidad fue la puerta de entrada, pero el territorio que se descubre al cruzarla es universal.</w:t>
      </w:r>
    </w:p>
    <w:p>
      <w:pPr>
        <w:spacing w:after="40" w:before="40"/>
      </w:pPr>
      <w:r>
        <w:t xml:space="preserve"/>
      </w:r>
    </w:p>
    <w:p>
      <w:pPr>
        <w:spacing w:after="60" w:before="60"/>
      </w:pPr>
      <w:r>
        <w:rPr>
          <w:rFonts w:ascii="Arial" w:cs="Arial" w:eastAsia="Arial" w:hAnsi="Arial"/>
          <w:i/>
          <w:iCs/>
          <w:color w:val="555555"/>
          <w:sz w:val="21"/>
          <w:szCs w:val="21"/>
        </w:rPr>
        <w:t xml:space="preserve">Propósito oficial: "Acompañamos a las personas a ser conscientes de sus miedos y a aceptar sus diferencias para que puedan transformar sus vidas y la sociedad."</w:t>
      </w:r>
    </w:p>
    <w:p>
      <w:pPr>
        <w:pStyle w:val="Heading2"/>
        <w:spacing w:after="140" w:before="280"/>
      </w:pPr>
      <w:r>
        <w:rPr>
          <w:rFonts w:ascii="Arial" w:cs="Arial" w:eastAsia="Arial" w:hAnsi="Arial"/>
          <w:b/>
          <w:bCs/>
          <w:color w:val="2E86C1"/>
          <w:sz w:val="28"/>
          <w:szCs w:val="28"/>
        </w:rPr>
        <w:t xml:space="preserve">1.3 La filosofía operativa: no normalizar, acompañar</w:t>
      </w:r>
    </w:p>
    <w:p>
      <w:pPr>
        <w:spacing w:after="60" w:before="60"/>
        <w:jc w:val="left"/>
      </w:pPr>
      <w:r>
        <w:rPr>
          <w:rFonts w:ascii="Arial" w:cs="Arial" w:eastAsia="Arial" w:hAnsi="Arial"/>
          <w:b w:val="false"/>
          <w:bCs w:val="false"/>
          <w:i w:val="false"/>
          <w:iCs w:val="false"/>
          <w:color w:val="1A1A1A"/>
          <w:sz w:val="22"/>
          <w:szCs w:val="22"/>
        </w:rPr>
        <w:t xml:space="preserve">Una consecuencia directa de esta filosofía es que Pegasus rechaza explícitamente el paradigma de la normalización. No quiere 'arreglar' a nadie. No trabaja para que las personas con discapacidad funcionen como personas sin discapacidad. Trabaja para que todas las personas —con o sin discapacidad— puedan ser felices siendo quienes son.</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Esto se traduce en una metodología de intervención que varía según el servicio pero comparte un principio común: lo que no se siente no se transforma. En TPT e IS, los pilares son la Inteligencia Emocional y el Juego. En Indiferente, a esos dos pilares se suma el Humor como herramienta diferencial para la formación y las dinámicas con empresas y administraciones. Esta distinción es intencional: el humor en un entorno corporativo actúa como palanca de disrupción segura; en el contexto terapéutico y deportivo el protagonista es el vínculo emocional y el juego como experiencia en sí misma.</w:t>
      </w:r>
    </w:p>
    <w:p>
      <w:pPr>
        <w:pStyle w:val="Heading2"/>
        <w:spacing w:after="140" w:before="280"/>
      </w:pPr>
      <w:r>
        <w:rPr>
          <w:rFonts w:ascii="Arial" w:cs="Arial" w:eastAsia="Arial" w:hAnsi="Arial"/>
          <w:b/>
          <w:bCs/>
          <w:color w:val="2E86C1"/>
          <w:sz w:val="28"/>
          <w:szCs w:val="28"/>
        </w:rPr>
        <w:t xml:space="preserve">1.4 El modelo sin paternalismo</w:t>
      </w:r>
    </w:p>
    <w:p>
      <w:pPr>
        <w:spacing w:after="60" w:before="60"/>
        <w:jc w:val="left"/>
      </w:pPr>
      <w:r>
        <w:rPr>
          <w:rFonts w:ascii="Arial" w:cs="Arial" w:eastAsia="Arial" w:hAnsi="Arial"/>
          <w:b w:val="false"/>
          <w:bCs w:val="false"/>
          <w:i w:val="false"/>
          <w:iCs w:val="false"/>
          <w:color w:val="1A1A1A"/>
          <w:sz w:val="22"/>
          <w:szCs w:val="22"/>
        </w:rPr>
        <w:t xml:space="preserve">Uno de los valores más diferenciales de Pegasus como organización es su rechazo explícito al paternalismo del tercer sector. Pegasus no acepta donativos ni voluntariado. Esta decisión es filosófica y estratégica: las organizaciones que viven de donaciones construyen una relación de dependencia y condescendencia con las personas a las que sirven.</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Pegasus ha construido un modelo de negocio propio que genera ingresos por el valor que crea. Es un círculo virtuoso: la consultoría y los servicios institucionales financian la accesibilidad de las terapias y el deporte.</w:t>
      </w:r>
    </w:p>
    <w:p>
      <w:pPr>
        <w:pStyle w:val="Heading2"/>
        <w:spacing w:after="140" w:before="280"/>
      </w:pPr>
      <w:r>
        <w:rPr>
          <w:rFonts w:ascii="Arial" w:cs="Arial" w:eastAsia="Arial" w:hAnsi="Arial"/>
          <w:b/>
          <w:bCs/>
          <w:color w:val="2E86C1"/>
          <w:sz w:val="28"/>
          <w:szCs w:val="28"/>
        </w:rPr>
        <w:t xml:space="preserve">1.5 El eslogan y la marca</w:t>
      </w:r>
    </w:p>
    <w:p>
      <w:pPr>
        <w:spacing w:after="60" w:before="60"/>
        <w:jc w:val="left"/>
      </w:pPr>
      <w:r>
        <w:rPr>
          <w:rFonts w:ascii="Arial" w:cs="Arial" w:eastAsia="Arial" w:hAnsi="Arial"/>
          <w:b w:val="false"/>
          <w:bCs w:val="false"/>
          <w:i w:val="false"/>
          <w:iCs w:val="false"/>
          <w:color w:val="1A1A1A"/>
          <w:sz w:val="22"/>
          <w:szCs w:val="22"/>
        </w:rPr>
        <w:t xml:space="preserve">El eslogan de Fundación Pegasus, 'Lo mío no es normal, pero lo tuyo tampoco', es también el título del libro de David Rodríguez y el nombre de su cuenta de Instagram (@lomiononesnormal). Esta frase sintetiza la filosofía de la organización: nadie es normal, todos somos diferentes, y eso no es un problema. Es lo que nos une.</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La cuenta personal de David en Instagram acumula 60.000 seguidores, frente a los 20.000 de la cuenta institucional de Pegasus. Esto refleja una realidad estratégica importante: la marca personal de David es el principal motor de visibilidad y captación de la organización.</w:t>
      </w:r>
    </w:p>
    <w:p>
      <w:r>
        <w:br w:type="page"/>
      </w:r>
    </w:p>
    <w:p>
      <w:pPr>
        <w:pStyle w:val="Heading1"/>
        <w:pBdr>
          <w:bottom w:val="single" w:color="7B2FBE" w:sz="4"/>
        </w:pBdr>
        <w:spacing w:after="200" w:before="400"/>
      </w:pPr>
      <w:r>
        <w:rPr>
          <w:rFonts w:ascii="Arial" w:cs="Arial" w:eastAsia="Arial" w:hAnsi="Arial"/>
          <w:b/>
          <w:bCs/>
          <w:color w:val="7B2FBE"/>
          <w:sz w:val="36"/>
          <w:szCs w:val="36"/>
        </w:rPr>
        <w:t xml:space="preserve">2. IDENTIDAD CORPORATIVA Y CULTURA</w:t>
      </w:r>
    </w:p>
    <w:p>
      <w:pPr>
        <w:pStyle w:val="Heading2"/>
        <w:spacing w:after="140" w:before="280"/>
      </w:pPr>
      <w:r>
        <w:rPr>
          <w:rFonts w:ascii="Arial" w:cs="Arial" w:eastAsia="Arial" w:hAnsi="Arial"/>
          <w:b/>
          <w:bCs/>
          <w:color w:val="2E86C1"/>
          <w:sz w:val="28"/>
          <w:szCs w:val="28"/>
        </w:rPr>
        <w:t xml:space="preserve">2.1 Misión, visión y propósito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73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MISIÓN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Acompañar a las personas a ser conscientes de sus miedos y a aceptar sus diferencias para que puedan transformar sus vidas y la sociedad.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VISIÓN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 el movimiento social de referencia mundial en la lucha contra el miedo como verdadera discapacidad del ser humano.</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PROPÓSITO</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Transformar el miedo en aceptación y amor, construyendo una sociedad donde la diferencia sea celebrada y no temida.</w:t>
            </w:r>
          </w:p>
        </w:tc>
      </w:tr>
    </w:tbl>
    <w:p>
      <w:pPr>
        <w:pStyle w:val="Heading2"/>
        <w:spacing w:after="140" w:before="280"/>
      </w:pPr>
      <w:r>
        <w:rPr>
          <w:rFonts w:ascii="Arial" w:cs="Arial" w:eastAsia="Arial" w:hAnsi="Arial"/>
          <w:b/>
          <w:bCs/>
          <w:color w:val="2E86C1"/>
          <w:sz w:val="28"/>
          <w:szCs w:val="28"/>
        </w:rPr>
        <w:t xml:space="preserve">2.2 Valores y compromisos</w:t>
      </w:r>
    </w:p>
    <w:p>
      <w:pPr>
        <w:spacing w:after="60" w:before="60"/>
        <w:jc w:val="left"/>
      </w:pPr>
      <w:r>
        <w:rPr>
          <w:rFonts w:ascii="Arial" w:cs="Arial" w:eastAsia="Arial" w:hAnsi="Arial"/>
          <w:b w:val="false"/>
          <w:bCs w:val="false"/>
          <w:i w:val="false"/>
          <w:iCs w:val="false"/>
          <w:color w:val="1A1A1A"/>
          <w:sz w:val="22"/>
          <w:szCs w:val="22"/>
        </w:rPr>
        <w:t xml:space="preserve">Pegasus define su cultura como 'amorosa'. Cuatro valores fundamentales sostienen esa cultura:</w:t>
      </w:r>
    </w:p>
    <w:p>
      <w:pPr>
        <w:spacing w:after="40" w:before="40"/>
      </w:pPr>
      <w:r>
        <w:t xml:space="preserve"/>
      </w:r>
    </w:p>
    <w:p>
      <w:pPr>
        <w:pStyle w:val="Heading3"/>
        <w:spacing w:after="100" w:before="200"/>
      </w:pPr>
      <w:r>
        <w:rPr>
          <w:rFonts w:ascii="Arial" w:cs="Arial" w:eastAsia="Arial" w:hAnsi="Arial"/>
          <w:b/>
          <w:bCs/>
          <w:color w:val="1A1A1A"/>
          <w:sz w:val="24"/>
          <w:szCs w:val="24"/>
        </w:rPr>
        <w:t xml:space="preserve">Vulnerabilidad</w:t>
      </w:r>
    </w:p>
    <w:p>
      <w:pPr>
        <w:spacing w:after="60" w:before="60"/>
        <w:jc w:val="left"/>
      </w:pPr>
      <w:r>
        <w:rPr>
          <w:rFonts w:ascii="Arial" w:cs="Arial" w:eastAsia="Arial" w:hAnsi="Arial"/>
          <w:b w:val="false"/>
          <w:bCs w:val="false"/>
          <w:i w:val="false"/>
          <w:iCs w:val="false"/>
          <w:color w:val="1A1A1A"/>
          <w:sz w:val="22"/>
          <w:szCs w:val="22"/>
        </w:rPr>
        <w:t xml:space="preserve">Reflexionar sobre uno mismo, reconocer las fragilidades y aceptarse tal y como se es. El compromiso es mirar hacia dentro y compartir con honestidad lo que se siente.</w:t>
      </w:r>
    </w:p>
    <w:p>
      <w:pPr>
        <w:pStyle w:val="Heading3"/>
        <w:spacing w:after="100" w:before="200"/>
      </w:pPr>
      <w:r>
        <w:rPr>
          <w:rFonts w:ascii="Arial" w:cs="Arial" w:eastAsia="Arial" w:hAnsi="Arial"/>
          <w:b/>
          <w:bCs/>
          <w:color w:val="1A1A1A"/>
          <w:sz w:val="24"/>
          <w:szCs w:val="24"/>
        </w:rPr>
        <w:t xml:space="preserve">Empatía</w:t>
      </w:r>
    </w:p>
    <w:p>
      <w:pPr>
        <w:spacing w:after="60" w:before="60"/>
        <w:jc w:val="left"/>
      </w:pPr>
      <w:r>
        <w:rPr>
          <w:rFonts w:ascii="Arial" w:cs="Arial" w:eastAsia="Arial" w:hAnsi="Arial"/>
          <w:b w:val="false"/>
          <w:bCs w:val="false"/>
          <w:i w:val="false"/>
          <w:iCs w:val="false"/>
          <w:color w:val="1A1A1A"/>
          <w:sz w:val="22"/>
          <w:szCs w:val="22"/>
        </w:rPr>
        <w:t xml:space="preserve">Acercarse al otro desde el corazón, escuchando su historia y necesidades sin juzgar. El compromiso es prestar atención plena y acoger cada experiencia con respeto incondicional.</w:t>
      </w:r>
    </w:p>
    <w:p>
      <w:pPr>
        <w:pStyle w:val="Heading3"/>
        <w:spacing w:after="100" w:before="200"/>
      </w:pPr>
      <w:r>
        <w:rPr>
          <w:rFonts w:ascii="Arial" w:cs="Arial" w:eastAsia="Arial" w:hAnsi="Arial"/>
          <w:b/>
          <w:bCs/>
          <w:color w:val="1A1A1A"/>
          <w:sz w:val="24"/>
          <w:szCs w:val="24"/>
        </w:rPr>
        <w:t xml:space="preserve">Valentía</w:t>
      </w:r>
    </w:p>
    <w:p>
      <w:pPr>
        <w:spacing w:after="60" w:before="60"/>
        <w:jc w:val="left"/>
      </w:pPr>
      <w:r>
        <w:rPr>
          <w:rFonts w:ascii="Arial" w:cs="Arial" w:eastAsia="Arial" w:hAnsi="Arial"/>
          <w:b w:val="false"/>
          <w:bCs w:val="false"/>
          <w:i w:val="false"/>
          <w:iCs w:val="false"/>
          <w:color w:val="1A1A1A"/>
          <w:sz w:val="22"/>
          <w:szCs w:val="22"/>
        </w:rPr>
        <w:t xml:space="preserve">Atreverse a mostrarse vulnerable, crecer pese al miedo, decir lo que otros callan y explorar lo desconocido. El compromiso es exponer con coraje las ideas y sentimientos.</w:t>
      </w:r>
    </w:p>
    <w:p>
      <w:pPr>
        <w:pStyle w:val="Heading3"/>
        <w:spacing w:after="100" w:before="200"/>
      </w:pPr>
      <w:r>
        <w:rPr>
          <w:rFonts w:ascii="Arial" w:cs="Arial" w:eastAsia="Arial" w:hAnsi="Arial"/>
          <w:b/>
          <w:bCs/>
          <w:color w:val="1A1A1A"/>
          <w:sz w:val="24"/>
          <w:szCs w:val="24"/>
        </w:rPr>
        <w:t xml:space="preserve">Honestidad</w:t>
      </w:r>
    </w:p>
    <w:p>
      <w:pPr>
        <w:spacing w:after="60" w:before="60"/>
        <w:jc w:val="left"/>
      </w:pPr>
      <w:r>
        <w:rPr>
          <w:rFonts w:ascii="Arial" w:cs="Arial" w:eastAsia="Arial" w:hAnsi="Arial"/>
          <w:b w:val="false"/>
          <w:bCs w:val="false"/>
          <w:i w:val="false"/>
          <w:iCs w:val="false"/>
          <w:color w:val="1A1A1A"/>
          <w:sz w:val="22"/>
          <w:szCs w:val="22"/>
        </w:rPr>
        <w:t xml:space="preserve">Actuar con coherencia y transparencia, fieles a la esencia propia y a la de los demás. El compromiso es tomar cada acción en base a lo que se piensa, siente y cree.</w:t>
      </w:r>
    </w:p>
    <w:p>
      <w:pPr>
        <w:pStyle w:val="Heading2"/>
        <w:spacing w:after="140" w:before="280"/>
      </w:pPr>
      <w:r>
        <w:rPr>
          <w:rFonts w:ascii="Arial" w:cs="Arial" w:eastAsia="Arial" w:hAnsi="Arial"/>
          <w:b/>
          <w:bCs/>
          <w:color w:val="2E86C1"/>
          <w:sz w:val="28"/>
          <w:szCs w:val="28"/>
        </w:rPr>
        <w:t xml:space="preserve">2.3 Metodología transversal: Inteligencia Emocional + Juego (+ Humor en Indiferente)</w:t>
      </w:r>
    </w:p>
    <w:p>
      <w:pPr>
        <w:spacing w:after="60" w:before="60"/>
        <w:jc w:val="left"/>
      </w:pPr>
      <w:r>
        <w:rPr>
          <w:rFonts w:ascii="Arial" w:cs="Arial" w:eastAsia="Arial" w:hAnsi="Arial"/>
          <w:b w:val="false"/>
          <w:bCs w:val="false"/>
          <w:i w:val="false"/>
          <w:iCs w:val="false"/>
          <w:color w:val="1A1A1A"/>
          <w:sz w:val="22"/>
          <w:szCs w:val="22"/>
        </w:rPr>
        <w:t xml:space="preserve">La metodología de Pegasus no es clínica ni académica: es vivencial. Parte del principio de que lo que no se siente no se transforma. Sin embargo, la combinación exacta de herramientas varía según el servicio, de forma intencional: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Servicio</w:t>
            </w:r>
          </w:p>
        </w:tc>
        <w:tc>
          <w:tcPr>
            <w:tcW w:type="dxa" w:w="65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Pilares metodológicos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TPT — Terapia Para Todos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Inteligencia Emocional + Juego. La IE es la base que permite al usuario nombrar, aceptar y gestionar lo que siente. El juego es el vehículo que hace que el aprendizaje ocurra sin que se perciba como terapia clínica.</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IS — Inclusive Sport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Inteligencia Emocional + Juego. Mismo fundamento que TPT, aplicado al entorno deportivo: el deporte es un medio para conseguir un fin emocional y social, no un fin en sí mismo.</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Indiferente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Inteligencia Emocional + Juego + Humor. En el contexto corporativo y de formación, el humor actúa como palanca de disrupción segura: permite que los participantes bajen la guardia, confronten sus sesgos y procesen ideas incómodas sin sentirse atacados. Es el diferencial de mercado de Indiferente frente a otras consultoras de D&amp;I.</w:t>
            </w:r>
          </w:p>
        </w:tc>
      </w:tr>
    </w:tbl>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Esta distinción no es arbitraria. En TPT e IS el vínculo emocional con el usuario y su familia requiere un entorno de confianza y seguridad donde el humor puede ser contraproducente si se aplica sin el contexto adecuado. En Indiferente, trabajar con adultos en entornos corporativos permite y requiere esa herramienta adicional.</w:t>
      </w:r>
    </w:p>
    <w:p>
      <w:pPr>
        <w:pStyle w:val="Heading2"/>
        <w:spacing w:after="140" w:before="280"/>
      </w:pPr>
      <w:r>
        <w:rPr>
          <w:rFonts w:ascii="Arial" w:cs="Arial" w:eastAsia="Arial" w:hAnsi="Arial"/>
          <w:b/>
          <w:bCs/>
          <w:color w:val="2E86C1"/>
          <w:sz w:val="28"/>
          <w:szCs w:val="28"/>
        </w:rPr>
        <w:t xml:space="preserve">2.4 Cultura interna: la dinámica emocional del equipo</w:t>
      </w:r>
    </w:p>
    <w:p>
      <w:pPr>
        <w:spacing w:after="60" w:before="60"/>
        <w:jc w:val="left"/>
      </w:pPr>
      <w:r>
        <w:rPr>
          <w:rFonts w:ascii="Arial" w:cs="Arial" w:eastAsia="Arial" w:hAnsi="Arial"/>
          <w:b w:val="false"/>
          <w:bCs w:val="false"/>
          <w:i w:val="false"/>
          <w:iCs w:val="false"/>
          <w:color w:val="1A1A1A"/>
          <w:sz w:val="22"/>
          <w:szCs w:val="22"/>
        </w:rPr>
        <w:t xml:space="preserve">La cultura interna de Pegasus es coherente con su filosofía externa. Dos veces por semana (martes y viernes), el equipo dedica una hora a dinámicas de carácter emocional. Estas sesiones, dirigidas por David y por Rober (Director Técnico), son espacios donde el equipo trabaja sus propios miedos, sus fricciones con familias y usuarios, sus bloqueos personales.</w:t>
      </w:r>
    </w:p>
    <w:p>
      <w:pPr>
        <w:spacing w:after="40" w:before="40"/>
      </w:pPr>
      <w:r>
        <w:t xml:space="preserve"/>
      </w:r>
    </w:p>
    <w:p>
      <w:pPr>
        <w:spacing w:after="120" w:before="120"/>
        <w:ind w:left="720"/>
      </w:pPr>
      <w:r>
        <w:rPr>
          <w:rFonts w:ascii="Arial" w:cs="Arial" w:eastAsia="Arial" w:hAnsi="Arial"/>
          <w:b/>
          <w:bCs/>
          <w:i/>
          <w:iCs/>
          <w:color w:val="7B2FBE"/>
          <w:sz w:val="22"/>
          <w:szCs w:val="22"/>
        </w:rPr>
        <w:t xml:space="preserve">"La magia no es que los miedos desaparezcan, es que dejen de ser invisibles. Al ponerlos sobre el tablero, dejan de controlar nuestras decisiones de forma inconsciente. — David Rodríguez"</w:t>
      </w:r>
    </w:p>
    <w:p>
      <w:pPr>
        <w:spacing w:after="40" w:before="40"/>
      </w:pPr>
      <w:r>
        <w:t xml:space="preserve"/>
      </w:r>
    </w:p>
    <w:p>
      <w:pPr>
        <w:pBdr>
          <w:left w:val="single" w:color="2E86C1" w:sz="6"/>
        </w:pBdr>
        <w:spacing w:after="80" w:before="80"/>
        <w:ind w:left="360"/>
      </w:pPr>
      <w:r>
        <w:rPr>
          <w:rFonts w:ascii="Arial" w:cs="Arial" w:eastAsia="Arial" w:hAnsi="Arial"/>
          <w:i/>
          <w:iCs/>
          <w:color w:val="555555"/>
          <w:sz w:val="20"/>
          <w:szCs w:val="20"/>
        </w:rPr>
        <w:t xml:space="preserve">NOTA: Pegasus tiene un Cultural Identity Book desarrollado en 2025 con una consultora de branding. Pendiente de implementación interna sistemática.</w:t>
      </w:r>
    </w:p>
    <w:p>
      <w:pPr>
        <w:pStyle w:val="Heading2"/>
        <w:spacing w:after="140" w:before="280"/>
      </w:pPr>
      <w:r>
        <w:rPr>
          <w:rFonts w:ascii="Arial" w:cs="Arial" w:eastAsia="Arial" w:hAnsi="Arial"/>
          <w:b/>
          <w:bCs/>
          <w:color w:val="2E86C1"/>
          <w:sz w:val="28"/>
          <w:szCs w:val="28"/>
        </w:rPr>
        <w:t xml:space="preserve">2.5 Limitaciones culturales actuales</w:t>
      </w:r>
    </w:p>
    <w:p>
      <w:pPr>
        <w:spacing w:after="60" w:before="60"/>
        <w:jc w:val="left"/>
      </w:pPr>
      <w:r>
        <w:rPr>
          <w:rFonts w:ascii="Arial" w:cs="Arial" w:eastAsia="Arial" w:hAnsi="Arial"/>
          <w:b w:val="false"/>
          <w:bCs w:val="false"/>
          <w:i w:val="false"/>
          <w:iCs w:val="false"/>
          <w:color w:val="1A1A1A"/>
          <w:sz w:val="22"/>
          <w:szCs w:val="22"/>
        </w:rPr>
        <w:t xml:space="preserve">Existe una brecha reconocida entre la cultura que Pegasus aspira a ser y la que vive el equipo en el día a día. Las causas principales son el equipo mayoritariamente junior, las jornadas parciales en TPT e IS, la presión operativa cotidiana, la dispersión geográfica y roces internos puntuales. Las dinámicas emocionales semanales son un diferencial real en el sector, pero no resuelven el reto de manera definitiva.</w:t>
      </w:r>
    </w:p>
    <w:p>
      <w:r>
        <w:br w:type="page"/>
      </w:r>
    </w:p>
    <w:p>
      <w:pPr>
        <w:pStyle w:val="Heading1"/>
        <w:pBdr>
          <w:bottom w:val="single" w:color="7B2FBE" w:sz="4"/>
        </w:pBdr>
        <w:spacing w:after="200" w:before="400"/>
      </w:pPr>
      <w:r>
        <w:rPr>
          <w:rFonts w:ascii="Arial" w:cs="Arial" w:eastAsia="Arial" w:hAnsi="Arial"/>
          <w:b/>
          <w:bCs/>
          <w:color w:val="7B2FBE"/>
          <w:sz w:val="36"/>
          <w:szCs w:val="36"/>
        </w:rPr>
        <w:t xml:space="preserve">3. ESTRUCTURA ORGANIZATIVA</w:t>
      </w:r>
    </w:p>
    <w:p>
      <w:pPr>
        <w:pStyle w:val="Heading2"/>
        <w:spacing w:after="140" w:before="280"/>
      </w:pPr>
      <w:r>
        <w:rPr>
          <w:rFonts w:ascii="Arial" w:cs="Arial" w:eastAsia="Arial" w:hAnsi="Arial"/>
          <w:b/>
          <w:bCs/>
          <w:color w:val="2E86C1"/>
          <w:sz w:val="28"/>
          <w:szCs w:val="28"/>
        </w:rPr>
        <w:t xml:space="preserve">3.1 Gobierno de la organización</w:t>
      </w:r>
    </w:p>
    <w:p>
      <w:pPr>
        <w:pStyle w:val="Heading3"/>
        <w:spacing w:after="100" w:before="200"/>
      </w:pPr>
      <w:r>
        <w:rPr>
          <w:rFonts w:ascii="Arial" w:cs="Arial" w:eastAsia="Arial" w:hAnsi="Arial"/>
          <w:b/>
          <w:bCs/>
          <w:color w:val="1A1A1A"/>
          <w:sz w:val="24"/>
          <w:szCs w:val="24"/>
        </w:rPr>
        <w:t xml:space="preserve">El Patronato</w:t>
      </w:r>
    </w:p>
    <w:p>
      <w:pPr>
        <w:spacing w:after="60" w:before="60"/>
        <w:jc w:val="left"/>
      </w:pPr>
      <w:r>
        <w:rPr>
          <w:rFonts w:ascii="Arial" w:cs="Arial" w:eastAsia="Arial" w:hAnsi="Arial"/>
          <w:b w:val="false"/>
          <w:bCs w:val="false"/>
          <w:i w:val="false"/>
          <w:iCs w:val="false"/>
          <w:color w:val="1A1A1A"/>
          <w:sz w:val="22"/>
          <w:szCs w:val="22"/>
        </w:rPr>
        <w:t xml:space="preserve">Órgano de gobierno superior. Ejerce supervisión y protección hacia la dirección ejecutiva. Compuesto principalmente por la familia de David Rodríguez. Función de gobernanza institucional, no interfiere en la gestión operativa.</w:t>
      </w:r>
    </w:p>
    <w:p>
      <w:pPr>
        <w:pStyle w:val="Heading3"/>
        <w:spacing w:after="100" w:before="200"/>
      </w:pPr>
      <w:r>
        <w:rPr>
          <w:rFonts w:ascii="Arial" w:cs="Arial" w:eastAsia="Arial" w:hAnsi="Arial"/>
          <w:b/>
          <w:bCs/>
          <w:color w:val="1A1A1A"/>
          <w:sz w:val="24"/>
          <w:szCs w:val="24"/>
        </w:rPr>
        <w:t xml:space="preserve">El Consejo Asesor</w:t>
      </w:r>
    </w:p>
    <w:p>
      <w:pPr>
        <w:spacing w:after="60" w:before="60"/>
        <w:jc w:val="left"/>
      </w:pPr>
      <w:r>
        <w:rPr>
          <w:rFonts w:ascii="Arial" w:cs="Arial" w:eastAsia="Arial" w:hAnsi="Arial"/>
          <w:b w:val="false"/>
          <w:bCs w:val="false"/>
          <w:i w:val="false"/>
          <w:iCs w:val="false"/>
          <w:color w:val="1A1A1A"/>
          <w:sz w:val="22"/>
          <w:szCs w:val="22"/>
        </w:rPr>
        <w:t xml:space="preserve">Órgano consultivo compuesto por empresarios y directivos de primer nivel. No tiene funciones ejecutivas. Composición actual: CEO de Iberex, CEO de Grupas Aguilar, Sergi Bennet, José Antonio Sevilla (ex CEO Altafit), entre otros. Activo estratégico relevante para apertura de puertas en el mundo empresarial.</w:t>
      </w:r>
    </w:p>
    <w:p>
      <w:pPr>
        <w:pStyle w:val="Heading2"/>
        <w:spacing w:after="140" w:before="280"/>
      </w:pPr>
      <w:r>
        <w:rPr>
          <w:rFonts w:ascii="Arial" w:cs="Arial" w:eastAsia="Arial" w:hAnsi="Arial"/>
          <w:b/>
          <w:bCs/>
          <w:color w:val="2E86C1"/>
          <w:sz w:val="28"/>
          <w:szCs w:val="28"/>
        </w:rPr>
        <w:t xml:space="preserve">3.2 El equipo directivo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tcW w:type="dxa" w:w="25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Cargo</w:t>
            </w:r>
          </w:p>
        </w:tc>
        <w:tc>
          <w:tcPr>
            <w:tcW w:type="dxa" w:w="46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 principal</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David Rodríguez</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CEO / Fundador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Visión estratégica, representación institucional, conferencias, cara pública.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Álvaro Díaz</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CFO / Director de Indiferente</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Dirección financiera, tesorería, administración y dirección de Indiferente.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Álvaro Marrero (Marre)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Director Estratégico / Marketing e IT</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Apoyo estratégico. Marketing, digitalización, branding.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Rober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Director Técnico</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Responsable de la metodología de intervención transversal a TPT, IS e Indiferente.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Davilín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Administración y Contabilidad</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Contabilidad, RRHH, tramitación administrativa.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Iris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Directora de Servicios</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Dirección de TPT e IS. Referente interno en la gestión del día a día.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Fran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Ejecutivo de Cuentas (Indiferente)</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Desarrollo y gestión de cuentas del proyecto Indiferente.</w:t>
            </w:r>
          </w:p>
        </w:tc>
      </w:tr>
    </w:tbl>
    <w:p>
      <w:pPr>
        <w:pStyle w:val="Heading2"/>
        <w:spacing w:after="140" w:before="280"/>
      </w:pPr>
      <w:r>
        <w:rPr>
          <w:rFonts w:ascii="Arial" w:cs="Arial" w:eastAsia="Arial" w:hAnsi="Arial"/>
          <w:b/>
          <w:bCs/>
          <w:color w:val="2E86C1"/>
          <w:sz w:val="28"/>
          <w:szCs w:val="28"/>
        </w:rPr>
        <w:t xml:space="preserve">3.3 Estructura operativa de servicios</w:t>
      </w:r>
    </w:p>
    <w:p>
      <w:pPr>
        <w:pStyle w:val="Heading3"/>
        <w:spacing w:after="100" w:before="200"/>
      </w:pPr>
      <w:r>
        <w:rPr>
          <w:rFonts w:ascii="Arial" w:cs="Arial" w:eastAsia="Arial" w:hAnsi="Arial"/>
          <w:b/>
          <w:bCs/>
          <w:color w:val="1A1A1A"/>
          <w:sz w:val="24"/>
          <w:szCs w:val="24"/>
        </w:rPr>
        <w:t xml:space="preserve">Terapia Para Todos</w:t>
      </w:r>
    </w:p>
    <w:p>
      <w:pPr>
        <w:spacing w:after="60" w:before="60"/>
        <w:jc w:val="left"/>
      </w:pPr>
      <w:r>
        <w:rPr>
          <w:rFonts w:ascii="Arial" w:cs="Arial" w:eastAsia="Arial" w:hAnsi="Arial"/>
          <w:b w:val="false"/>
          <w:bCs w:val="false"/>
          <w:i w:val="false"/>
          <w:iCs w:val="false"/>
          <w:color w:val="1A1A1A"/>
          <w:sz w:val="22"/>
          <w:szCs w:val="22"/>
        </w:rPr>
        <w:t xml:space="preserve">23 terapeutas, 2 coordinadores de zona y 1 director.</w:t>
      </w:r>
    </w:p>
    <w:p>
      <w:pPr>
        <w:pStyle w:val="ListParagraph"/>
        <w:numPr>
          <w:ilvl w:val="0"/>
          <w:numId w:val="2"/>
        </w:numPr>
        <w:spacing w:after="40" w:before="40"/>
      </w:pPr>
      <w:r>
        <w:rPr>
          <w:rFonts w:ascii="Arial" w:cs="Arial" w:eastAsia="Arial" w:hAnsi="Arial"/>
          <w:color w:val="1A1A1A"/>
          <w:sz w:val="22"/>
          <w:szCs w:val="22"/>
        </w:rPr>
        <w:t xml:space="preserve">Zona 1 — Coordinadora: María Álvarez. Centros: Móstoles, Leganés, Valdemoro, San Agustín de Guadalix, municipios FMM.</w:t>
      </w:r>
    </w:p>
    <w:p>
      <w:pPr>
        <w:pStyle w:val="ListParagraph"/>
        <w:numPr>
          <w:ilvl w:val="0"/>
          <w:numId w:val="2"/>
        </w:numPr>
        <w:spacing w:after="40" w:before="40"/>
      </w:pPr>
      <w:r>
        <w:rPr>
          <w:rFonts w:ascii="Arial" w:cs="Arial" w:eastAsia="Arial" w:hAnsi="Arial"/>
          <w:color w:val="1A1A1A"/>
          <w:sz w:val="22"/>
          <w:szCs w:val="22"/>
        </w:rPr>
        <w:t xml:space="preserve">Zona 2 — Coordinadora: Ana García. Centros: Arganda del Rey, Rivas-Vaciamadrid, Torrejón de Ardoz.</w:t>
      </w:r>
    </w:p>
    <w:p>
      <w:pPr>
        <w:pStyle w:val="Heading3"/>
        <w:spacing w:after="100" w:before="200"/>
      </w:pPr>
      <w:r>
        <w:rPr>
          <w:rFonts w:ascii="Arial" w:cs="Arial" w:eastAsia="Arial" w:hAnsi="Arial"/>
          <w:b/>
          <w:bCs/>
          <w:color w:val="1A1A1A"/>
          <w:sz w:val="24"/>
          <w:szCs w:val="24"/>
        </w:rPr>
        <w:t xml:space="preserve">Inclusive Sport</w:t>
      </w:r>
    </w:p>
    <w:p>
      <w:pPr>
        <w:spacing w:after="60" w:before="60"/>
        <w:jc w:val="left"/>
      </w:pPr>
      <w:r>
        <w:rPr>
          <w:rFonts w:ascii="Arial" w:cs="Arial" w:eastAsia="Arial" w:hAnsi="Arial"/>
          <w:b w:val="false"/>
          <w:bCs w:val="false"/>
          <w:i w:val="false"/>
          <w:iCs w:val="false"/>
          <w:color w:val="1A1A1A"/>
          <w:sz w:val="22"/>
          <w:szCs w:val="22"/>
        </w:rPr>
        <w:t xml:space="preserve">2 coordinadores de zona y número variable de monitores según servicios activos.</w:t>
      </w:r>
    </w:p>
    <w:p>
      <w:pPr>
        <w:pStyle w:val="ListParagraph"/>
        <w:numPr>
          <w:ilvl w:val="0"/>
          <w:numId w:val="2"/>
        </w:numPr>
        <w:spacing w:after="40" w:before="40"/>
      </w:pPr>
      <w:r>
        <w:rPr>
          <w:rFonts w:ascii="Arial" w:cs="Arial" w:eastAsia="Arial" w:hAnsi="Arial"/>
          <w:color w:val="1A1A1A"/>
          <w:sz w:val="22"/>
          <w:szCs w:val="22"/>
        </w:rPr>
        <w:t xml:space="preserve">Zona 1 — Coordinadora: Irene Burgos. Centros: Arganda del Rey, Torrejón, Paracuellos, Rivas, Cuatro Caminos.</w:t>
      </w:r>
    </w:p>
    <w:p>
      <w:pPr>
        <w:pStyle w:val="ListParagraph"/>
        <w:numPr>
          <w:ilvl w:val="0"/>
          <w:numId w:val="2"/>
        </w:numPr>
        <w:spacing w:after="40" w:before="40"/>
      </w:pPr>
      <w:r>
        <w:rPr>
          <w:rFonts w:ascii="Arial" w:cs="Arial" w:eastAsia="Arial" w:hAnsi="Arial"/>
          <w:color w:val="1A1A1A"/>
          <w:sz w:val="22"/>
          <w:szCs w:val="22"/>
        </w:rPr>
        <w:t xml:space="preserve">Zona 2 — Coordinador: José Luis Mena. Centros: Navalcarnero, Móstoles, Leganés, Valdemoro, Cebada y Sportrade.</w:t>
      </w:r>
    </w:p>
    <w:p>
      <w:pPr>
        <w:pStyle w:val="Heading3"/>
        <w:spacing w:after="100" w:before="200"/>
      </w:pPr>
      <w:r>
        <w:rPr>
          <w:rFonts w:ascii="Arial" w:cs="Arial" w:eastAsia="Arial" w:hAnsi="Arial"/>
          <w:b/>
          <w:bCs/>
          <w:color w:val="1A1A1A"/>
          <w:sz w:val="24"/>
          <w:szCs w:val="24"/>
        </w:rPr>
        <w:t xml:space="preserve">Indiferente</w:t>
      </w:r>
    </w:p>
    <w:p>
      <w:pPr>
        <w:spacing w:after="60" w:before="60"/>
        <w:jc w:val="left"/>
      </w:pPr>
      <w:r>
        <w:rPr>
          <w:rFonts w:ascii="Arial" w:cs="Arial" w:eastAsia="Arial" w:hAnsi="Arial"/>
          <w:b w:val="false"/>
          <w:bCs w:val="false"/>
          <w:i w:val="false"/>
          <w:iCs w:val="false"/>
          <w:color w:val="1A1A1A"/>
          <w:sz w:val="22"/>
          <w:szCs w:val="22"/>
        </w:rPr>
        <w:t xml:space="preserve">Equipo reducido: Álvaro Díaz como director y Fran como ejecutivo de cuentas. Presión significativa dado el presupuesto de 626.346€ para 2026.</w:t>
      </w:r>
    </w:p>
    <w:p>
      <w:pPr>
        <w:pStyle w:val="Heading2"/>
        <w:spacing w:after="140" w:before="280"/>
      </w:pPr>
      <w:r>
        <w:rPr>
          <w:rFonts w:ascii="Arial" w:cs="Arial" w:eastAsia="Arial" w:hAnsi="Arial"/>
          <w:b/>
          <w:bCs/>
          <w:color w:val="2E86C1"/>
          <w:sz w:val="28"/>
          <w:szCs w:val="28"/>
        </w:rPr>
        <w:t xml:space="preserve">3.4 Roadmap organizativo 2026</w:t>
      </w:r>
    </w:p>
    <w:p>
      <w:pPr>
        <w:spacing w:after="60" w:before="60"/>
        <w:jc w:val="left"/>
      </w:pPr>
      <w:r>
        <w:rPr>
          <w:rFonts w:ascii="Arial" w:cs="Arial" w:eastAsia="Arial" w:hAnsi="Arial"/>
          <w:b w:val="false"/>
          <w:bCs w:val="false"/>
          <w:i w:val="false"/>
          <w:iCs w:val="false"/>
          <w:color w:val="1A1A1A"/>
          <w:sz w:val="22"/>
          <w:szCs w:val="22"/>
        </w:rPr>
        <w:t xml:space="preserve">El principal cambio estructural previsto para 2026 es la fusión de los equipos de coordinación de TPT e IS. El objetivo es que para septiembre de 2026 un mismo coordinador pueda gestionar tanto terapias como deporte en su zona geográfica.</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Adicionalmente, se está incorporando una nueva figura de captación dedicada exclusivamente a gestión de consultas entrantes, retención y mantenimiento de la red de stakeholders.</w:t>
      </w:r>
    </w:p>
    <w:p>
      <w:pPr>
        <w:pStyle w:val="Heading2"/>
        <w:spacing w:after="140" w:before="280"/>
      </w:pPr>
      <w:r>
        <w:rPr>
          <w:rFonts w:ascii="Arial" w:cs="Arial" w:eastAsia="Arial" w:hAnsi="Arial"/>
          <w:b/>
          <w:bCs/>
          <w:color w:val="2E86C1"/>
          <w:sz w:val="28"/>
          <w:szCs w:val="28"/>
        </w:rPr>
        <w:t xml:space="preserve">3.5 Escala total del equipo</w:t>
      </w:r>
    </w:p>
    <w:p>
      <w:pPr>
        <w:spacing w:after="60" w:before="60"/>
        <w:jc w:val="left"/>
      </w:pPr>
      <w:r>
        <w:rPr>
          <w:rFonts w:ascii="Arial" w:cs="Arial" w:eastAsia="Arial" w:hAnsi="Arial"/>
          <w:b w:val="false"/>
          <w:bCs w:val="false"/>
          <w:i w:val="false"/>
          <w:iCs w:val="false"/>
          <w:color w:val="1A1A1A"/>
          <w:sz w:val="22"/>
          <w:szCs w:val="22"/>
        </w:rPr>
        <w:t xml:space="preserve">Fundación Pegasus cuenta actualmente con entre 52 y 54 personas en plantilla. Todos los contratos son indefinidos, en coherencia con el valor de la organización de apostar por la estabilidad laboral como garantía de un servicio digno y de calidad.</w:t>
      </w:r>
    </w:p>
    <w:p>
      <w:r>
        <w:br w:type="page"/>
      </w:r>
    </w:p>
    <w:p>
      <w:pPr>
        <w:pStyle w:val="Heading1"/>
        <w:pBdr>
          <w:bottom w:val="single" w:color="7B2FBE" w:sz="4"/>
        </w:pBdr>
        <w:spacing w:after="200" w:before="400"/>
      </w:pPr>
      <w:r>
        <w:rPr>
          <w:rFonts w:ascii="Arial" w:cs="Arial" w:eastAsia="Arial" w:hAnsi="Arial"/>
          <w:b/>
          <w:bCs/>
          <w:color w:val="7B2FBE"/>
          <w:sz w:val="36"/>
          <w:szCs w:val="36"/>
        </w:rPr>
        <w:t xml:space="preserve">4. RECONOCIMIENTOS, PRESENCIA PÚBLICA Y ALIANZAS</w:t>
      </w:r>
    </w:p>
    <w:p>
      <w:pPr>
        <w:pStyle w:val="Heading2"/>
        <w:spacing w:after="140" w:before="280"/>
      </w:pPr>
      <w:r>
        <w:rPr>
          <w:rFonts w:ascii="Arial" w:cs="Arial" w:eastAsia="Arial" w:hAnsi="Arial"/>
          <w:b/>
          <w:bCs/>
          <w:color w:val="2E86C1"/>
          <w:sz w:val="28"/>
          <w:szCs w:val="28"/>
        </w:rPr>
        <w:t xml:space="preserve">4.1 Reconocimientos institucionales</w:t>
      </w:r>
    </w:p>
    <w:p>
      <w:pPr>
        <w:pStyle w:val="ListParagraph"/>
        <w:numPr>
          <w:ilvl w:val="0"/>
          <w:numId w:val="2"/>
        </w:numPr>
        <w:spacing w:after="40" w:before="40"/>
      </w:pPr>
      <w:r>
        <w:rPr>
          <w:rFonts w:ascii="Arial" w:cs="Arial" w:eastAsia="Arial" w:hAnsi="Arial"/>
          <w:color w:val="1A1A1A"/>
          <w:sz w:val="22"/>
          <w:szCs w:val="22"/>
        </w:rPr>
        <w:t xml:space="preserve">Premio Innovación La Caixa a Inclusive Sport por innovación en autonomía personal y atención a la discapacidad.</w:t>
      </w:r>
    </w:p>
    <w:p>
      <w:pPr>
        <w:pStyle w:val="ListParagraph"/>
        <w:numPr>
          <w:ilvl w:val="0"/>
          <w:numId w:val="2"/>
        </w:numPr>
        <w:spacing w:after="40" w:before="40"/>
      </w:pPr>
      <w:r>
        <w:rPr>
          <w:rFonts w:ascii="Arial" w:cs="Arial" w:eastAsia="Arial" w:hAnsi="Arial"/>
          <w:color w:val="1A1A1A"/>
          <w:sz w:val="22"/>
          <w:szCs w:val="22"/>
        </w:rPr>
        <w:t xml:space="preserve">Participación en la Asamblea de Madrid.</w:t>
      </w:r>
    </w:p>
    <w:p>
      <w:pPr>
        <w:pStyle w:val="ListParagraph"/>
        <w:numPr>
          <w:ilvl w:val="0"/>
          <w:numId w:val="2"/>
        </w:numPr>
        <w:spacing w:after="40" w:before="40"/>
      </w:pPr>
      <w:r>
        <w:rPr>
          <w:rFonts w:ascii="Arial" w:cs="Arial" w:eastAsia="Arial" w:hAnsi="Arial"/>
          <w:color w:val="1A1A1A"/>
          <w:sz w:val="22"/>
          <w:szCs w:val="22"/>
        </w:rPr>
        <w:t xml:space="preserve">Presencia en MasterChef.</w:t>
      </w:r>
    </w:p>
    <w:p>
      <w:pPr>
        <w:pStyle w:val="ListParagraph"/>
        <w:numPr>
          <w:ilvl w:val="0"/>
          <w:numId w:val="2"/>
        </w:numPr>
        <w:spacing w:after="40" w:before="40"/>
      </w:pPr>
      <w:r>
        <w:rPr>
          <w:rFonts w:ascii="Arial" w:cs="Arial" w:eastAsia="Arial" w:hAnsi="Arial"/>
          <w:color w:val="1A1A1A"/>
          <w:sz w:val="22"/>
          <w:szCs w:val="22"/>
        </w:rPr>
        <w:t xml:space="preserve">Entrevistas en medios de comunicación de perfil alto.</w:t>
      </w:r>
    </w:p>
    <w:p>
      <w:pPr>
        <w:pStyle w:val="Heading2"/>
        <w:spacing w:after="140" w:before="280"/>
      </w:pPr>
      <w:r>
        <w:rPr>
          <w:rFonts w:ascii="Arial" w:cs="Arial" w:eastAsia="Arial" w:hAnsi="Arial"/>
          <w:b/>
          <w:bCs/>
          <w:color w:val="2E86C1"/>
          <w:sz w:val="28"/>
          <w:szCs w:val="28"/>
        </w:rPr>
        <w:t xml:space="preserve">4.2 La figura pública de David Rodríguez</w:t>
      </w:r>
    </w:p>
    <w:p>
      <w:pPr>
        <w:spacing w:after="60" w:before="60"/>
        <w:jc w:val="left"/>
      </w:pPr>
      <w:r>
        <w:rPr>
          <w:rFonts w:ascii="Arial" w:cs="Arial" w:eastAsia="Arial" w:hAnsi="Arial"/>
          <w:b w:val="false"/>
          <w:bCs w:val="false"/>
          <w:i w:val="false"/>
          <w:iCs w:val="false"/>
          <w:color w:val="1A1A1A"/>
          <w:sz w:val="22"/>
          <w:szCs w:val="22"/>
        </w:rPr>
        <w:t xml:space="preserve">David Rodríguez es conferenciante profesional. Cobra 7.000€ por conferencia, y todo el importe va íntegramente a Fundación Pegasus. Ha actuado en empresas de primer nivel: Santander, PepsiCo, Sprinter, LATAM, Cepsa, Leroy Merlin, Endesa, Iberdrola, entre otras.</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David tiene publicado el libro 'Lo mío no es normal, pero lo tuyo tampoco'. La cuenta @lomiononesnormal acumula 60.000 seguidores en Instagram, frente a los 20.000 de @fundacionpegasus.</w:t>
      </w:r>
    </w:p>
    <w:p>
      <w:pPr>
        <w:pStyle w:val="Heading2"/>
        <w:spacing w:after="140" w:before="280"/>
      </w:pPr>
      <w:r>
        <w:rPr>
          <w:rFonts w:ascii="Arial" w:cs="Arial" w:eastAsia="Arial" w:hAnsi="Arial"/>
          <w:b/>
          <w:bCs/>
          <w:color w:val="2E86C1"/>
          <w:sz w:val="28"/>
          <w:szCs w:val="28"/>
        </w:rPr>
        <w:t xml:space="preserve">4.3 Alianzas estratégicas</w:t>
      </w:r>
    </w:p>
    <w:p>
      <w:pPr>
        <w:pStyle w:val="ListParagraph"/>
        <w:numPr>
          <w:ilvl w:val="0"/>
          <w:numId w:val="2"/>
        </w:numPr>
        <w:spacing w:after="40" w:before="40"/>
      </w:pPr>
      <w:r>
        <w:rPr>
          <w:rFonts w:ascii="Arial" w:cs="Arial" w:eastAsia="Arial" w:hAnsi="Arial"/>
          <w:color w:val="1A1A1A"/>
          <w:sz w:val="22"/>
          <w:szCs w:val="22"/>
        </w:rPr>
        <w:t xml:space="preserve">Federación Madrileña de Municipios (FMM): partner institucional principal.</w:t>
      </w:r>
    </w:p>
    <w:p>
      <w:pPr>
        <w:pStyle w:val="ListParagraph"/>
        <w:numPr>
          <w:ilvl w:val="0"/>
          <w:numId w:val="2"/>
        </w:numPr>
        <w:spacing w:after="40" w:before="40"/>
      </w:pPr>
      <w:r>
        <w:rPr>
          <w:rFonts w:ascii="Arial" w:cs="Arial" w:eastAsia="Arial" w:hAnsi="Arial"/>
          <w:color w:val="1A1A1A"/>
          <w:sz w:val="22"/>
          <w:szCs w:val="22"/>
        </w:rPr>
        <w:t xml:space="preserve">Comunidad de Madrid: cliente institucional directo.</w:t>
      </w:r>
    </w:p>
    <w:p>
      <w:pPr>
        <w:pStyle w:val="ListParagraph"/>
        <w:numPr>
          <w:ilvl w:val="0"/>
          <w:numId w:val="2"/>
        </w:numPr>
        <w:spacing w:after="40" w:before="40"/>
      </w:pPr>
      <w:r>
        <w:rPr>
          <w:rFonts w:ascii="Arial" w:cs="Arial" w:eastAsia="Arial" w:hAnsi="Arial"/>
          <w:color w:val="1A1A1A"/>
          <w:sz w:val="22"/>
          <w:szCs w:val="22"/>
        </w:rPr>
        <w:t xml:space="preserve">Black Bull: aliado en restauración para Únete al Flow.</w:t>
      </w:r>
    </w:p>
    <w:p>
      <w:pPr>
        <w:pStyle w:val="ListParagraph"/>
        <w:numPr>
          <w:ilvl w:val="0"/>
          <w:numId w:val="2"/>
        </w:numPr>
        <w:spacing w:after="40" w:before="40"/>
      </w:pPr>
      <w:r>
        <w:rPr>
          <w:rFonts w:ascii="Arial" w:cs="Arial" w:eastAsia="Arial" w:hAnsi="Arial"/>
          <w:color w:val="1A1A1A"/>
          <w:sz w:val="22"/>
          <w:szCs w:val="22"/>
        </w:rPr>
        <w:t xml:space="preserve">Ayuntamiento de Arganda del Rey: municipio de origen de David y socio histórico.</w:t>
      </w:r>
    </w:p>
    <w:p>
      <w:pPr>
        <w:pStyle w:val="ListParagraph"/>
        <w:numPr>
          <w:ilvl w:val="0"/>
          <w:numId w:val="2"/>
        </w:numPr>
        <w:spacing w:after="40" w:before="40"/>
      </w:pPr>
      <w:r>
        <w:rPr>
          <w:rFonts w:ascii="Arial" w:cs="Arial" w:eastAsia="Arial" w:hAnsi="Arial"/>
          <w:color w:val="1A1A1A"/>
          <w:sz w:val="22"/>
          <w:szCs w:val="22"/>
        </w:rPr>
        <w:t xml:space="preserve">Múltiples ayuntamientos de la Comunidad de Madrid: Leganés, Valdemoro, Móstoles, Rivas-Vaciamadrid, Torrejón de Ardoz, San Agustín de Guadalix, Tres Cantos, Paracuellos del Jarama, Navalcarnero, entre otros.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FB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PARTE II — QUÉ HACEMOS</w:t>
            </w:r>
          </w:p>
        </w:tc>
      </w:tr>
    </w:tbl>
    <w:p>
      <w:pPr>
        <w:spacing w:after="40" w:before="40"/>
      </w:pPr>
      <w:r>
        <w:t xml:space="preserve"/>
      </w:r>
    </w:p>
    <w:p>
      <w:pPr>
        <w:pStyle w:val="Heading1"/>
        <w:pBdr>
          <w:bottom w:val="single" w:color="7B2FBE" w:sz="4"/>
        </w:pBdr>
        <w:spacing w:after="200" w:before="400"/>
      </w:pPr>
      <w:r>
        <w:rPr>
          <w:rFonts w:ascii="Arial" w:cs="Arial" w:eastAsia="Arial" w:hAnsi="Arial"/>
          <w:b/>
          <w:bCs/>
          <w:color w:val="7B2FBE"/>
          <w:sz w:val="36"/>
          <w:szCs w:val="36"/>
        </w:rPr>
        <w:t xml:space="preserve">5. TERAPIA PARA TODOS (TPT)</w:t>
      </w:r>
    </w:p>
    <w:p>
      <w:pPr>
        <w:pStyle w:val="Heading2"/>
        <w:spacing w:after="140" w:before="280"/>
      </w:pPr>
      <w:r>
        <w:rPr>
          <w:rFonts w:ascii="Arial" w:cs="Arial" w:eastAsia="Arial" w:hAnsi="Arial"/>
          <w:b/>
          <w:bCs/>
          <w:color w:val="2E86C1"/>
          <w:sz w:val="28"/>
          <w:szCs w:val="28"/>
        </w:rPr>
        <w:t xml:space="preserve">5.1 Origen y razón de ser</w:t>
      </w:r>
    </w:p>
    <w:p>
      <w:pPr>
        <w:spacing w:after="60" w:before="60"/>
        <w:jc w:val="left"/>
      </w:pPr>
      <w:r>
        <w:rPr>
          <w:rFonts w:ascii="Arial" w:cs="Arial" w:eastAsia="Arial" w:hAnsi="Arial"/>
          <w:b w:val="false"/>
          <w:bCs w:val="false"/>
          <w:i w:val="false"/>
          <w:iCs w:val="false"/>
          <w:color w:val="1A1A1A"/>
          <w:sz w:val="22"/>
          <w:szCs w:val="22"/>
        </w:rPr>
        <w:t xml:space="preserve">Terapia Para Todos nace de la experiencia de David Rodríguez como niño que recibía fisioterapia que no iba a cambiar su condición física, pero que le hacía daño emocional al transmitirle el mensaje de que había algo en él que necesitaba ser 'arreglado'. Al mismo tiempo, David observó que había familias que no podían permitirse las terapias del mercado, con precios de 60-70€ por sesión.</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TPT nace para resolver ambos problemas simultáneamente: hacer las terapias accesibles económicamente, y cambiar la filosofía de intervención desde la normalización hacia el bienestar emocional.</w:t>
      </w:r>
    </w:p>
    <w:p>
      <w:pPr>
        <w:pStyle w:val="Heading2"/>
        <w:spacing w:after="140" w:before="280"/>
      </w:pPr>
      <w:r>
        <w:rPr>
          <w:rFonts w:ascii="Arial" w:cs="Arial" w:eastAsia="Arial" w:hAnsi="Arial"/>
          <w:b/>
          <w:bCs/>
          <w:color w:val="2E86C1"/>
          <w:sz w:val="28"/>
          <w:szCs w:val="28"/>
        </w:rPr>
        <w:t xml:space="preserve">5.2 Propuesta de valor diferencial</w:t>
      </w:r>
    </w:p>
    <w:p>
      <w:pPr>
        <w:pStyle w:val="Heading3"/>
        <w:spacing w:after="100" w:before="200"/>
      </w:pPr>
      <w:r>
        <w:rPr>
          <w:rFonts w:ascii="Arial" w:cs="Arial" w:eastAsia="Arial" w:hAnsi="Arial"/>
          <w:b/>
          <w:bCs/>
          <w:color w:val="1A1A1A"/>
          <w:sz w:val="24"/>
          <w:szCs w:val="24"/>
        </w:rPr>
        <w:t xml:space="preserve">Diferencial 1: Precio</w:t>
      </w:r>
    </w:p>
    <w:p>
      <w:pPr>
        <w:spacing w:after="60" w:before="60"/>
        <w:jc w:val="left"/>
      </w:pPr>
      <w:r>
        <w:rPr>
          <w:rFonts w:ascii="Arial" w:cs="Arial" w:eastAsia="Arial" w:hAnsi="Arial"/>
          <w:b w:val="false"/>
          <w:bCs w:val="false"/>
          <w:i w:val="false"/>
          <w:iCs w:val="false"/>
          <w:color w:val="1A1A1A"/>
          <w:sz w:val="22"/>
          <w:szCs w:val="22"/>
        </w:rPr>
        <w:t xml:space="preserve">Las sesiones de TPT cuestan entre 17,95€ (Terapia Integral en municipios FMM) y 25,95€ (TO, Psicología, Logopedia) por sesión. Esto supone un ahorro del 55-60% respecto a los precios de mercado. Este precio es posible gracias al modelo de convenios de cesión de espacios con ayuntamientos, que elimina el coste de alquiler.</w:t>
      </w:r>
    </w:p>
    <w:p>
      <w:pPr>
        <w:pStyle w:val="Heading3"/>
        <w:spacing w:after="100" w:before="200"/>
      </w:pPr>
      <w:r>
        <w:rPr>
          <w:rFonts w:ascii="Arial" w:cs="Arial" w:eastAsia="Arial" w:hAnsi="Arial"/>
          <w:b/>
          <w:bCs/>
          <w:color w:val="1A1A1A"/>
          <w:sz w:val="24"/>
          <w:szCs w:val="24"/>
        </w:rPr>
        <w:t xml:space="preserve">Diferencial 2: Metodología</w:t>
      </w:r>
    </w:p>
    <w:p>
      <w:pPr>
        <w:spacing w:after="60" w:before="60"/>
        <w:jc w:val="left"/>
      </w:pPr>
      <w:r>
        <w:rPr>
          <w:rFonts w:ascii="Arial" w:cs="Arial" w:eastAsia="Arial" w:hAnsi="Arial"/>
          <w:b w:val="false"/>
          <w:bCs w:val="false"/>
          <w:i w:val="false"/>
          <w:iCs w:val="false"/>
          <w:color w:val="1A1A1A"/>
          <w:sz w:val="22"/>
          <w:szCs w:val="22"/>
        </w:rPr>
        <w:t xml:space="preserve">TPT no busca normalizar a la persona. El objetivo es la aceptación y adaptación de su situación, y la consiguiente salud emocional. Los terapeutas trabajan tanto con la persona como con su familia, entendiendo que el bienestar de la persona con discapacidad es inseparable del bienestar de su entorno familiar.</w:t>
      </w:r>
    </w:p>
    <w:p>
      <w:pPr>
        <w:spacing w:after="120" w:before="120"/>
        <w:ind w:left="720"/>
      </w:pPr>
      <w:r>
        <w:rPr>
          <w:rFonts w:ascii="Arial" w:cs="Arial" w:eastAsia="Arial" w:hAnsi="Arial"/>
          <w:b/>
          <w:bCs/>
          <w:i/>
          <w:iCs/>
          <w:color w:val="7B2FBE"/>
          <w:sz w:val="22"/>
          <w:szCs w:val="22"/>
        </w:rPr>
        <w:t xml:space="preserve">"Quienes llegan a Fundación Pegasus son personas, no coches yendo al taller."</w:t>
      </w:r>
    </w:p>
    <w:p>
      <w:pPr>
        <w:pStyle w:val="Heading2"/>
        <w:spacing w:after="140" w:before="280"/>
      </w:pPr>
      <w:r>
        <w:rPr>
          <w:rFonts w:ascii="Arial" w:cs="Arial" w:eastAsia="Arial" w:hAnsi="Arial"/>
          <w:b/>
          <w:bCs/>
          <w:color w:val="2E86C1"/>
          <w:sz w:val="28"/>
          <w:szCs w:val="28"/>
        </w:rPr>
        <w:t xml:space="preserve">5.3 Servicios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c>
          <w:tcPr>
            <w:tcW w:type="dxa" w:w="28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Servicio</w:t>
            </w:r>
          </w:p>
        </w:tc>
        <w:tc>
          <w:tcPr>
            <w:tcW w:type="dxa" w:w="16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Duración</w:t>
            </w:r>
          </w:p>
        </w:tc>
        <w:tc>
          <w:tcPr>
            <w:tcW w:type="dxa" w:w="18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PVP/sesión</w:t>
            </w:r>
          </w:p>
        </w:tc>
        <w:tc>
          <w:tcPr>
            <w:tcW w:type="dxa" w:w="31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Plazas disponibles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Fisioterapia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 min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19,95 €</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Terapia Ocupacional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 min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25,95 €</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Psicología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 min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25,95 €</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Logopedia y 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 min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25,95 €</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Pilates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 min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25,95 €</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Terapia Integral FMM*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50 min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17,95 €</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Variable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Terapia Acuática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Variable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Consultar</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Variable</w:t>
            </w:r>
          </w:p>
        </w:tc>
      </w:tr>
    </w:tbl>
    <w:p>
      <w:pPr>
        <w:spacing w:after="40" w:before="40"/>
      </w:pPr>
      <w:r>
        <w:t xml:space="preserve"/>
      </w:r>
    </w:p>
    <w:p>
      <w:pPr>
        <w:spacing w:after="60" w:before="60"/>
      </w:pPr>
      <w:r>
        <w:rPr>
          <w:rFonts w:ascii="Arial" w:cs="Arial" w:eastAsia="Arial" w:hAnsi="Arial"/>
          <w:i/>
          <w:iCs/>
          <w:color w:val="555555"/>
          <w:sz w:val="21"/>
          <w:szCs w:val="21"/>
        </w:rPr>
        <w:t xml:space="preserve">*La Terapia Integral ("Municipios que te cuidan") es una modalidad especial disponible en municipios rurales FMM. Un terapeuta ocupacional realiza la sesión presencialmente con el apoyo remoto de logopeda, psicólogo y fisioterapeuta.</w:t>
      </w:r>
    </w:p>
    <w:p>
      <w:pPr>
        <w:pStyle w:val="Heading2"/>
        <w:spacing w:after="140" w:before="280"/>
      </w:pPr>
      <w:r>
        <w:rPr>
          <w:rFonts w:ascii="Arial" w:cs="Arial" w:eastAsia="Arial" w:hAnsi="Arial"/>
          <w:b/>
          <w:bCs/>
          <w:color w:val="2E86C1"/>
          <w:sz w:val="28"/>
          <w:szCs w:val="28"/>
        </w:rPr>
        <w:t xml:space="preserve">5.4 El modelo de compromiso anual</w:t>
      </w:r>
    </w:p>
    <w:p>
      <w:pPr>
        <w:spacing w:after="60" w:before="60"/>
        <w:jc w:val="left"/>
      </w:pPr>
      <w:r>
        <w:rPr>
          <w:rFonts w:ascii="Arial" w:cs="Arial" w:eastAsia="Arial" w:hAnsi="Arial"/>
          <w:b w:val="false"/>
          <w:bCs w:val="false"/>
          <w:i w:val="false"/>
          <w:iCs w:val="false"/>
          <w:color w:val="1A1A1A"/>
          <w:sz w:val="22"/>
          <w:szCs w:val="22"/>
        </w:rPr>
        <w:t xml:space="preserve">Para sostener los precios accesibles, TPT requiere un compromiso de permanencia de septiembre a julio (ambos meses incluidos), con una matrícula de 80€ en agosto. Esta previsibilidad de ingresos permite planificar la estructura de costes y reducir el coste unitario de cada sesión.</w:t>
      </w:r>
    </w:p>
    <w:p>
      <w:pPr>
        <w:pStyle w:val="Heading2"/>
        <w:spacing w:after="140" w:before="280"/>
      </w:pPr>
      <w:r>
        <w:rPr>
          <w:rFonts w:ascii="Arial" w:cs="Arial" w:eastAsia="Arial" w:hAnsi="Arial"/>
          <w:b/>
          <w:bCs/>
          <w:color w:val="2E86C1"/>
          <w:sz w:val="28"/>
          <w:szCs w:val="28"/>
        </w:rPr>
        <w:t xml:space="preserve">5.5 Ubicaciones actuales</w:t>
      </w:r>
    </w:p>
    <w:p>
      <w:pPr>
        <w:pStyle w:val="ListParagraph"/>
        <w:numPr>
          <w:ilvl w:val="0"/>
          <w:numId w:val="2"/>
        </w:numPr>
        <w:spacing w:after="40" w:before="40"/>
      </w:pPr>
      <w:r>
        <w:rPr>
          <w:rFonts w:ascii="Arial" w:cs="Arial" w:eastAsia="Arial" w:hAnsi="Arial"/>
          <w:color w:val="1A1A1A"/>
          <w:sz w:val="22"/>
          <w:szCs w:val="22"/>
        </w:rPr>
        <w:t xml:space="preserve">Leganés</w:t>
      </w:r>
    </w:p>
    <w:p>
      <w:pPr>
        <w:pStyle w:val="ListParagraph"/>
        <w:numPr>
          <w:ilvl w:val="0"/>
          <w:numId w:val="2"/>
        </w:numPr>
        <w:spacing w:after="40" w:before="40"/>
      </w:pPr>
      <w:r>
        <w:rPr>
          <w:rFonts w:ascii="Arial" w:cs="Arial" w:eastAsia="Arial" w:hAnsi="Arial"/>
          <w:color w:val="1A1A1A"/>
          <w:sz w:val="22"/>
          <w:szCs w:val="22"/>
        </w:rPr>
        <w:t xml:space="preserve">Valdemoro</w:t>
      </w:r>
    </w:p>
    <w:p>
      <w:pPr>
        <w:pStyle w:val="ListParagraph"/>
        <w:numPr>
          <w:ilvl w:val="0"/>
          <w:numId w:val="2"/>
        </w:numPr>
        <w:spacing w:after="40" w:before="40"/>
      </w:pPr>
      <w:r>
        <w:rPr>
          <w:rFonts w:ascii="Arial" w:cs="Arial" w:eastAsia="Arial" w:hAnsi="Arial"/>
          <w:color w:val="1A1A1A"/>
          <w:sz w:val="22"/>
          <w:szCs w:val="22"/>
        </w:rPr>
        <w:t xml:space="preserve">Móstoles</w:t>
      </w:r>
    </w:p>
    <w:p>
      <w:pPr>
        <w:pStyle w:val="ListParagraph"/>
        <w:numPr>
          <w:ilvl w:val="0"/>
          <w:numId w:val="2"/>
        </w:numPr>
        <w:spacing w:after="40" w:before="40"/>
      </w:pPr>
      <w:r>
        <w:rPr>
          <w:rFonts w:ascii="Arial" w:cs="Arial" w:eastAsia="Arial" w:hAnsi="Arial"/>
          <w:color w:val="1A1A1A"/>
          <w:sz w:val="22"/>
          <w:szCs w:val="22"/>
        </w:rPr>
        <w:t xml:space="preserve">Rivas-Vaciamadrid</w:t>
      </w:r>
    </w:p>
    <w:p>
      <w:pPr>
        <w:pStyle w:val="ListParagraph"/>
        <w:numPr>
          <w:ilvl w:val="0"/>
          <w:numId w:val="2"/>
        </w:numPr>
        <w:spacing w:after="40" w:before="40"/>
      </w:pPr>
      <w:r>
        <w:rPr>
          <w:rFonts w:ascii="Arial" w:cs="Arial" w:eastAsia="Arial" w:hAnsi="Arial"/>
          <w:color w:val="1A1A1A"/>
          <w:sz w:val="22"/>
          <w:szCs w:val="22"/>
        </w:rPr>
        <w:t xml:space="preserve">Torrejón de Ardoz</w:t>
      </w:r>
    </w:p>
    <w:p>
      <w:pPr>
        <w:pStyle w:val="ListParagraph"/>
        <w:numPr>
          <w:ilvl w:val="0"/>
          <w:numId w:val="2"/>
        </w:numPr>
        <w:spacing w:after="40" w:before="40"/>
      </w:pPr>
      <w:r>
        <w:rPr>
          <w:rFonts w:ascii="Arial" w:cs="Arial" w:eastAsia="Arial" w:hAnsi="Arial"/>
          <w:color w:val="1A1A1A"/>
          <w:sz w:val="22"/>
          <w:szCs w:val="22"/>
        </w:rPr>
        <w:t xml:space="preserve">Arganda del Rey</w:t>
      </w:r>
    </w:p>
    <w:p>
      <w:pPr>
        <w:pStyle w:val="ListParagraph"/>
        <w:numPr>
          <w:ilvl w:val="0"/>
          <w:numId w:val="2"/>
        </w:numPr>
        <w:spacing w:after="40" w:before="40"/>
      </w:pPr>
      <w:r>
        <w:rPr>
          <w:rFonts w:ascii="Arial" w:cs="Arial" w:eastAsia="Arial" w:hAnsi="Arial"/>
          <w:color w:val="1A1A1A"/>
          <w:sz w:val="22"/>
          <w:szCs w:val="22"/>
        </w:rPr>
        <w:t xml:space="preserve">San Agustín de Guadalix</w:t>
      </w:r>
    </w:p>
    <w:p>
      <w:pPr>
        <w:pStyle w:val="ListParagraph"/>
        <w:numPr>
          <w:ilvl w:val="0"/>
          <w:numId w:val="2"/>
        </w:numPr>
        <w:spacing w:after="40" w:before="40"/>
      </w:pPr>
      <w:r>
        <w:rPr>
          <w:rFonts w:ascii="Arial" w:cs="Arial" w:eastAsia="Arial" w:hAnsi="Arial"/>
          <w:color w:val="1A1A1A"/>
          <w:sz w:val="22"/>
          <w:szCs w:val="22"/>
        </w:rPr>
        <w:t xml:space="preserve">Municipios FMM: Villamanrique de Tajo, Griñón, Colmenar del Arroyo</w:t>
      </w:r>
    </w:p>
    <w:p>
      <w:pPr>
        <w:pStyle w:val="ListParagraph"/>
        <w:numPr>
          <w:ilvl w:val="0"/>
          <w:numId w:val="2"/>
        </w:numPr>
        <w:spacing w:after="40" w:before="40"/>
      </w:pPr>
      <w:r>
        <w:rPr>
          <w:rFonts w:ascii="Arial" w:cs="Arial" w:eastAsia="Arial" w:hAnsi="Arial"/>
          <w:color w:val="1A1A1A"/>
          <w:sz w:val="22"/>
          <w:szCs w:val="22"/>
        </w:rPr>
        <w:t xml:space="preserve">Online (Psicología)</w:t>
      </w:r>
    </w:p>
    <w:p>
      <w:pPr>
        <w:pStyle w:val="Heading2"/>
        <w:spacing w:after="140" w:before="280"/>
      </w:pPr>
      <w:r>
        <w:rPr>
          <w:rFonts w:ascii="Arial" w:cs="Arial" w:eastAsia="Arial" w:hAnsi="Arial"/>
          <w:b/>
          <w:bCs/>
          <w:color w:val="2E86C1"/>
          <w:sz w:val="28"/>
          <w:szCs w:val="28"/>
        </w:rPr>
        <w:t xml:space="preserve">5.6 Cifras de impacto</w:t>
      </w:r>
    </w:p>
    <w:p>
      <w:pPr>
        <w:pStyle w:val="ListParagraph"/>
        <w:numPr>
          <w:ilvl w:val="0"/>
          <w:numId w:val="2"/>
        </w:numPr>
        <w:spacing w:after="40" w:before="40"/>
      </w:pPr>
      <w:r>
        <w:rPr>
          <w:rFonts w:ascii="Arial" w:cs="Arial" w:eastAsia="Arial" w:hAnsi="Arial"/>
          <w:color w:val="1A1A1A"/>
          <w:sz w:val="22"/>
          <w:szCs w:val="22"/>
        </w:rPr>
        <w:t xml:space="preserve">Más de 1.000 familias atendidas</w:t>
      </w:r>
    </w:p>
    <w:p>
      <w:pPr>
        <w:pStyle w:val="ListParagraph"/>
        <w:numPr>
          <w:ilvl w:val="0"/>
          <w:numId w:val="2"/>
        </w:numPr>
        <w:spacing w:after="40" w:before="40"/>
      </w:pPr>
      <w:r>
        <w:rPr>
          <w:rFonts w:ascii="Arial" w:cs="Arial" w:eastAsia="Arial" w:hAnsi="Arial"/>
          <w:color w:val="1A1A1A"/>
          <w:sz w:val="22"/>
          <w:szCs w:val="22"/>
        </w:rPr>
        <w:t xml:space="preserve">Más de 700 familias en programas terapéuticos activos</w:t>
      </w:r>
    </w:p>
    <w:p>
      <w:pPr>
        <w:pStyle w:val="ListParagraph"/>
        <w:numPr>
          <w:ilvl w:val="0"/>
          <w:numId w:val="2"/>
        </w:numPr>
        <w:spacing w:after="40" w:before="40"/>
      </w:pPr>
      <w:r>
        <w:rPr>
          <w:rFonts w:ascii="Arial" w:cs="Arial" w:eastAsia="Arial" w:hAnsi="Arial"/>
          <w:color w:val="1A1A1A"/>
          <w:sz w:val="22"/>
          <w:szCs w:val="22"/>
        </w:rPr>
        <w:t xml:space="preserve">Facturación 2025: 532.739€ (+33% vs 2024)</w:t>
      </w:r>
    </w:p>
    <w:p>
      <w:pPr>
        <w:pStyle w:val="ListParagraph"/>
        <w:numPr>
          <w:ilvl w:val="0"/>
          <w:numId w:val="2"/>
        </w:numPr>
        <w:spacing w:after="40" w:before="40"/>
      </w:pPr>
      <w:r>
        <w:rPr>
          <w:rFonts w:ascii="Arial" w:cs="Arial" w:eastAsia="Arial" w:hAnsi="Arial"/>
          <w:color w:val="1A1A1A"/>
          <w:sz w:val="22"/>
          <w:szCs w:val="22"/>
        </w:rPr>
        <w:t xml:space="preserve">Presupuesto 2026: 718.740€ (+35% vs 2025)</w:t>
      </w:r>
    </w:p>
    <w:p>
      <w:pPr>
        <w:pStyle w:val="ListParagraph"/>
        <w:numPr>
          <w:ilvl w:val="0"/>
          <w:numId w:val="2"/>
        </w:numPr>
        <w:spacing w:after="40" w:before="40"/>
      </w:pPr>
      <w:r>
        <w:rPr>
          <w:rFonts w:ascii="Arial" w:cs="Arial" w:eastAsia="Arial" w:hAnsi="Arial"/>
          <w:color w:val="1A1A1A"/>
          <w:sz w:val="22"/>
          <w:szCs w:val="22"/>
        </w:rPr>
        <w:t xml:space="preserve">Ocupación actual: ~65% de la capacidad instalada</w:t>
      </w:r>
    </w:p>
    <w:p>
      <w:pPr>
        <w:pStyle w:val="ListParagraph"/>
        <w:numPr>
          <w:ilvl w:val="0"/>
          <w:numId w:val="2"/>
        </w:numPr>
        <w:spacing w:after="40" w:before="40"/>
      </w:pPr>
      <w:r>
        <w:rPr>
          <w:rFonts w:ascii="Arial" w:cs="Arial" w:eastAsia="Arial" w:hAnsi="Arial"/>
          <w:color w:val="1A1A1A"/>
          <w:sz w:val="22"/>
          <w:szCs w:val="22"/>
        </w:rPr>
        <w:t xml:space="preserve">Capacidad disponible sin coste marginal: 250 plazas adicionales</w:t>
      </w:r>
    </w:p>
    <w:p>
      <w:pPr>
        <w:pStyle w:val="Heading2"/>
        <w:spacing w:after="140" w:before="280"/>
      </w:pPr>
      <w:r>
        <w:rPr>
          <w:rFonts w:ascii="Arial" w:cs="Arial" w:eastAsia="Arial" w:hAnsi="Arial"/>
          <w:b/>
          <w:bCs/>
          <w:color w:val="2E86C1"/>
          <w:sz w:val="28"/>
          <w:szCs w:val="28"/>
        </w:rPr>
        <w:t xml:space="preserve">5.7 Canales de Entrada</w:t>
      </w:r>
    </w:p>
    <w:p>
      <w:pPr>
        <w:pStyle w:val="Heading3"/>
        <w:spacing w:after="100" w:before="200"/>
      </w:pPr>
      <w:r>
        <w:rPr>
          <w:rFonts w:ascii="Arial" w:cs="Arial" w:eastAsia="Arial" w:hAnsi="Arial"/>
          <w:b/>
          <w:bCs/>
          <w:color w:val="1A1A1A"/>
          <w:sz w:val="24"/>
          <w:szCs w:val="24"/>
        </w:rPr>
        <w:t xml:space="preserve">Canales orgánicos (goteo pasivo)</w:t>
      </w:r>
    </w:p>
    <w:p>
      <w:pPr>
        <w:spacing w:after="60" w:before="60"/>
        <w:jc w:val="left"/>
      </w:pPr>
      <w:r>
        <w:rPr>
          <w:rFonts w:ascii="Arial" w:cs="Arial" w:eastAsia="Arial" w:hAnsi="Arial"/>
          <w:b w:val="false"/>
          <w:bCs w:val="false"/>
          <w:i w:val="false"/>
          <w:iCs w:val="false"/>
          <w:color w:val="1A1A1A"/>
          <w:sz w:val="22"/>
          <w:szCs w:val="22"/>
        </w:rPr>
        <w:t xml:space="preserve">Fichas en Google My Business por centro. Web de Fundación Pegasus. Redes sociales: Instagram, TikTok y LinkedIn bajo @fundacionpegasus y @lomiononesnormal (60.000 seguidores en Instagram).</w:t>
      </w:r>
    </w:p>
    <w:p>
      <w:pPr>
        <w:pStyle w:val="Heading3"/>
        <w:spacing w:after="100" w:before="200"/>
      </w:pPr>
      <w:r>
        <w:rPr>
          <w:rFonts w:ascii="Arial" w:cs="Arial" w:eastAsia="Arial" w:hAnsi="Arial"/>
          <w:b/>
          <w:bCs/>
          <w:color w:val="1A1A1A"/>
          <w:sz w:val="24"/>
          <w:szCs w:val="24"/>
        </w:rPr>
        <w:t xml:space="preserve">Canales activos (captación directa)</w:t>
      </w:r>
    </w:p>
    <w:p>
      <w:pPr>
        <w:spacing w:after="60" w:before="60"/>
        <w:jc w:val="left"/>
      </w:pPr>
      <w:r>
        <w:rPr>
          <w:rFonts w:ascii="Arial" w:cs="Arial" w:eastAsia="Arial" w:hAnsi="Arial"/>
          <w:b w:val="false"/>
          <w:bCs w:val="false"/>
          <w:i w:val="false"/>
          <w:iCs w:val="false"/>
          <w:color w:val="1A1A1A"/>
          <w:sz w:val="22"/>
          <w:szCs w:val="22"/>
        </w:rPr>
        <w:t xml:space="preserve">Facebook Ads (eficacia en descenso por restricciones de segmentación Meta). Red de stakeholders (convenios con asociaciones y colegios de cada municipio: a cambio de referir familias se regala la matrícula de agosto). Buzoneo por terapeutas con huecos libres.</w:t>
      </w:r>
    </w:p>
    <w:p>
      <w:pPr>
        <w:pStyle w:val="Heading2"/>
        <w:spacing w:after="140" w:before="280"/>
      </w:pPr>
      <w:r>
        <w:rPr>
          <w:rFonts w:ascii="Arial" w:cs="Arial" w:eastAsia="Arial" w:hAnsi="Arial"/>
          <w:b/>
          <w:bCs/>
          <w:color w:val="2E86C1"/>
          <w:sz w:val="28"/>
          <w:szCs w:val="28"/>
        </w:rPr>
        <w:t xml:space="preserve">5.8 El Funnel: de la Consulta al Compromiso</w:t>
      </w:r>
    </w:p>
    <w:p>
      <w:pPr>
        <w:pStyle w:val="ListParagraph"/>
        <w:numPr>
          <w:ilvl w:val="0"/>
          <w:numId w:val="2"/>
        </w:numPr>
        <w:spacing w:after="40" w:before="40"/>
      </w:pPr>
      <w:r>
        <w:rPr>
          <w:rFonts w:ascii="Arial" w:cs="Arial" w:eastAsia="Arial" w:hAnsi="Arial"/>
          <w:color w:val="1A1A1A"/>
          <w:sz w:val="22"/>
          <w:szCs w:val="22"/>
        </w:rPr>
        <w:t xml:space="preserve">Paso 1 — Punto de entrada único: teléfono de captación centralizado.</w:t>
      </w:r>
    </w:p>
    <w:p>
      <w:pPr>
        <w:pStyle w:val="ListParagraph"/>
        <w:numPr>
          <w:ilvl w:val="0"/>
          <w:numId w:val="2"/>
        </w:numPr>
        <w:spacing w:after="40" w:before="40"/>
      </w:pPr>
      <w:r>
        <w:rPr>
          <w:rFonts w:ascii="Arial" w:cs="Arial" w:eastAsia="Arial" w:hAnsi="Arial"/>
          <w:color w:val="1A1A1A"/>
          <w:sz w:val="22"/>
          <w:szCs w:val="22"/>
        </w:rPr>
        <w:t xml:space="preserve">Paso 2 — Escucha activa y asesoramiento personalizado (venta consultiva).</w:t>
      </w:r>
    </w:p>
    <w:p>
      <w:pPr>
        <w:pStyle w:val="ListParagraph"/>
        <w:numPr>
          <w:ilvl w:val="0"/>
          <w:numId w:val="2"/>
        </w:numPr>
        <w:spacing w:after="40" w:before="40"/>
      </w:pPr>
      <w:r>
        <w:rPr>
          <w:rFonts w:ascii="Arial" w:cs="Arial" w:eastAsia="Arial" w:hAnsi="Arial"/>
          <w:color w:val="1A1A1A"/>
          <w:sz w:val="22"/>
          <w:szCs w:val="22"/>
        </w:rPr>
        <w:t xml:space="preserve">Paso 3 — Sesión de valoración gratuita con el profesional.</w:t>
      </w:r>
    </w:p>
    <w:p>
      <w:pPr>
        <w:pStyle w:val="ListParagraph"/>
        <w:numPr>
          <w:ilvl w:val="0"/>
          <w:numId w:val="2"/>
        </w:numPr>
        <w:spacing w:after="40" w:before="40"/>
      </w:pPr>
      <w:r>
        <w:rPr>
          <w:rFonts w:ascii="Arial" w:cs="Arial" w:eastAsia="Arial" w:hAnsi="Arial"/>
          <w:color w:val="1A1A1A"/>
          <w:sz w:val="22"/>
          <w:szCs w:val="22"/>
        </w:rPr>
        <w:t xml:space="preserve">Paso 4 — Cierre y registro en CRM. Formalización del compromiso anual + matrícula de agosto (80€).</w:t>
      </w:r>
    </w:p>
    <w:p>
      <w:pPr>
        <w:pStyle w:val="Heading2"/>
        <w:spacing w:after="140" w:before="280"/>
      </w:pPr>
      <w:r>
        <w:rPr>
          <w:rFonts w:ascii="Arial" w:cs="Arial" w:eastAsia="Arial" w:hAnsi="Arial"/>
          <w:b/>
          <w:bCs/>
          <w:color w:val="2E86C1"/>
          <w:sz w:val="28"/>
          <w:szCs w:val="28"/>
        </w:rPr>
        <w:t xml:space="preserve">5.9 El Stopper Crítico: Julio y Agosto</w:t>
      </w:r>
    </w:p>
    <w:p>
      <w:pPr>
        <w:spacing w:after="60" w:before="60"/>
        <w:jc w:val="left"/>
      </w:pPr>
      <w:r>
        <w:rPr>
          <w:rFonts w:ascii="Arial" w:cs="Arial" w:eastAsia="Arial" w:hAnsi="Arial"/>
          <w:b w:val="false"/>
          <w:bCs w:val="false"/>
          <w:i w:val="false"/>
          <w:iCs w:val="false"/>
          <w:color w:val="1A1A1A"/>
          <w:sz w:val="22"/>
          <w:szCs w:val="22"/>
        </w:rPr>
        <w:t xml:space="preserve">El principal punto de fricción se concentra en verano. Muchas familias no comprenden que julio se debe pagar íntegramente aunque el niño no asista por vacaciones. La gestión proactiva de este momento —comunicación anticipada, retención, manejo de objeciones— es una de las funciones más importantes de la figura de captación.</w:t>
      </w:r>
    </w:p>
    <w:p>
      <w:pPr>
        <w:pStyle w:val="Heading2"/>
        <w:spacing w:after="140" w:before="280"/>
      </w:pPr>
      <w:r>
        <w:rPr>
          <w:rFonts w:ascii="Arial" w:cs="Arial" w:eastAsia="Arial" w:hAnsi="Arial"/>
          <w:b/>
          <w:bCs/>
          <w:color w:val="2E86C1"/>
          <w:sz w:val="28"/>
          <w:szCs w:val="28"/>
        </w:rPr>
        <w:t xml:space="preserve">5.10 La Nueva Figura de Captación</w:t>
      </w:r>
    </w:p>
    <w:p>
      <w:pPr>
        <w:spacing w:after="60" w:before="60"/>
        <w:jc w:val="left"/>
      </w:pPr>
      <w:r>
        <w:rPr>
          <w:rFonts w:ascii="Arial" w:cs="Arial" w:eastAsia="Arial" w:hAnsi="Arial"/>
          <w:b w:val="false"/>
          <w:bCs w:val="false"/>
          <w:i w:val="false"/>
          <w:iCs w:val="false"/>
          <w:color w:val="1A1A1A"/>
          <w:sz w:val="22"/>
          <w:szCs w:val="22"/>
        </w:rPr>
        <w:t xml:space="preserve">En marzo de 2026 se incorpora una persona dedicada exclusivamente a captación. Sus tres responsabilidades: captación activa (atender consultas, asesorar, cerrar altas), retención (gestionar solicitudes de baja, especialmente junio-julio) y red de stakeholders (visitar y mantener activos los convenios con asociaciones y colegios).</w:t>
      </w:r>
    </w:p>
    <w:p>
      <w:pPr>
        <w:pStyle w:val="Heading2"/>
        <w:spacing w:after="140" w:before="280"/>
      </w:pPr>
      <w:r>
        <w:rPr>
          <w:rFonts w:ascii="Arial" w:cs="Arial" w:eastAsia="Arial" w:hAnsi="Arial"/>
          <w:b/>
          <w:bCs/>
          <w:color w:val="2E86C1"/>
          <w:sz w:val="28"/>
          <w:szCs w:val="28"/>
        </w:rPr>
        <w:t xml:space="preserve">5.11 El Sistema de Gestión de Agendas</w:t>
      </w:r>
    </w:p>
    <w:p>
      <w:pPr>
        <w:spacing w:after="60" w:before="60"/>
        <w:jc w:val="left"/>
      </w:pPr>
      <w:r>
        <w:rPr>
          <w:rFonts w:ascii="Arial" w:cs="Arial" w:eastAsia="Arial" w:hAnsi="Arial"/>
          <w:b w:val="false"/>
          <w:bCs w:val="false"/>
          <w:i w:val="false"/>
          <w:iCs w:val="false"/>
          <w:color w:val="1A1A1A"/>
          <w:sz w:val="22"/>
          <w:szCs w:val="22"/>
        </w:rPr>
        <w:t xml:space="preserve">Las agendas de TPT se gestionan en dos capas: un Google Sheets centralizado con una hoja por cada combinación de centro y especialidad, y el CRM MN Program donde los terapeutas fichan, registran asistencia e incidencias.</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Codificación de slots: T1/T2/T3 (individual, pareja, trío ocupados), TG4-TG8 (grupos), T0 (slot vacío), T-LT (libre temporal), GA (gestión administrativa), GT (gestión terapéutica), X (no disponible), A (alta en proceso), Q (posible alta no confirmada).</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Triaje por grupos de edad: A (2-4 años), B (5-7), C (8-11), D (12-15), E (16-19).</w:t>
      </w:r>
    </w:p>
    <w:p>
      <w:pPr>
        <w:pStyle w:val="Heading2"/>
        <w:spacing w:after="140" w:before="280"/>
      </w:pPr>
      <w:r>
        <w:rPr>
          <w:rFonts w:ascii="Arial" w:cs="Arial" w:eastAsia="Arial" w:hAnsi="Arial"/>
          <w:b/>
          <w:bCs/>
          <w:color w:val="2E86C1"/>
          <w:sz w:val="28"/>
          <w:szCs w:val="28"/>
        </w:rPr>
        <w:t xml:space="preserve">5.12 El Contrato del Terapeuta y el Sistema de Pluses</w:t>
      </w:r>
    </w:p>
    <w:p>
      <w:pPr>
        <w:spacing w:after="60" w:before="60"/>
        <w:jc w:val="left"/>
      </w:pPr>
      <w:r>
        <w:rPr>
          <w:rFonts w:ascii="Arial" w:cs="Arial" w:eastAsia="Arial" w:hAnsi="Arial"/>
          <w:b w:val="false"/>
          <w:bCs w:val="false"/>
          <w:i w:val="false"/>
          <w:iCs w:val="false"/>
          <w:color w:val="1A1A1A"/>
          <w:sz w:val="22"/>
          <w:szCs w:val="22"/>
        </w:rPr>
        <w:t xml:space="preserve">Contrato estándar: 26 horas semanales (20h de sesiones + 6h de gestión). Pluses mensuales de productividad vinculados a la métrica Plazas − Slots Abiertos:</w:t>
      </w:r>
    </w:p>
    <w:p>
      <w:pPr>
        <w:pStyle w:val="ListParagraph"/>
        <w:numPr>
          <w:ilvl w:val="0"/>
          <w:numId w:val="2"/>
        </w:numPr>
        <w:spacing w:after="40" w:before="40"/>
      </w:pPr>
      <w:r>
        <w:rPr>
          <w:rFonts w:ascii="Arial" w:cs="Arial" w:eastAsia="Arial" w:hAnsi="Arial"/>
          <w:color w:val="1A1A1A"/>
          <w:sz w:val="22"/>
          <w:szCs w:val="22"/>
        </w:rPr>
        <w:t xml:space="preserve">Plus Ocupación (65€ brutos/mes): se activa cuando el acumulado mensual ≥ −1.</w:t>
      </w:r>
    </w:p>
    <w:p>
      <w:pPr>
        <w:pStyle w:val="ListParagraph"/>
        <w:numPr>
          <w:ilvl w:val="0"/>
          <w:numId w:val="2"/>
        </w:numPr>
        <w:spacing w:after="40" w:before="40"/>
      </w:pPr>
      <w:r>
        <w:rPr>
          <w:rFonts w:ascii="Arial" w:cs="Arial" w:eastAsia="Arial" w:hAnsi="Arial"/>
          <w:color w:val="1A1A1A"/>
          <w:sz w:val="22"/>
          <w:szCs w:val="22"/>
        </w:rPr>
        <w:t xml:space="preserve">Plus Plaza Extra (30€ brutos por plaza extra): se activa cuando el promedio mensual de plazas supera los slots abiertos.</w:t>
      </w:r>
    </w:p>
    <w:p>
      <w:pPr>
        <w:pStyle w:val="Heading2"/>
        <w:spacing w:after="140" w:before="280"/>
      </w:pPr>
      <w:r>
        <w:rPr>
          <w:rFonts w:ascii="Arial" w:cs="Arial" w:eastAsia="Arial" w:hAnsi="Arial"/>
          <w:b/>
          <w:bCs/>
          <w:color w:val="2E86C1"/>
          <w:sz w:val="28"/>
          <w:szCs w:val="28"/>
        </w:rPr>
        <w:t xml:space="preserve">5.13 El Sistema de Parejas y Grupos — La Palanca Clave</w:t>
      </w:r>
    </w:p>
    <w:p>
      <w:pPr>
        <w:spacing w:after="60" w:before="60"/>
        <w:jc w:val="left"/>
      </w:pPr>
      <w:r>
        <w:rPr>
          <w:rFonts w:ascii="Arial" w:cs="Arial" w:eastAsia="Arial" w:hAnsi="Arial"/>
          <w:b w:val="false"/>
          <w:bCs w:val="false"/>
          <w:i w:val="false"/>
          <w:iCs w:val="false"/>
          <w:color w:val="1A1A1A"/>
          <w:sz w:val="22"/>
          <w:szCs w:val="22"/>
        </w:rPr>
        <w:t xml:space="preserve">Formar parejas o grupos es la acción individual de mayor impacto económico en TPT. Cuando dos usuarios compatibles comparten una franja de 40 minutos, los ingresos se duplican sin que el coste salarial del terapeuta cambie. Es un juego de suma positiva para todas las partes, siempre que la agrupación sea terapéuticamente apropiada.</w:t>
      </w:r>
    </w:p>
    <w:p>
      <w:pPr>
        <w:pStyle w:val="Heading2"/>
        <w:spacing w:after="140" w:before="280"/>
      </w:pPr>
      <w:r>
        <w:rPr>
          <w:rFonts w:ascii="Arial" w:cs="Arial" w:eastAsia="Arial" w:hAnsi="Arial"/>
          <w:b/>
          <w:bCs/>
          <w:color w:val="2E86C1"/>
          <w:sz w:val="28"/>
          <w:szCs w:val="28"/>
        </w:rPr>
        <w:t xml:space="preserve">5.14 Registro de Asistencia e Incidencias en CRM</w:t>
      </w:r>
    </w:p>
    <w:p>
      <w:pPr>
        <w:spacing w:after="60" w:before="60"/>
        <w:jc w:val="left"/>
      </w:pPr>
      <w:r>
        <w:rPr>
          <w:rFonts w:ascii="Arial" w:cs="Arial" w:eastAsia="Arial" w:hAnsi="Arial"/>
          <w:b w:val="false"/>
          <w:bCs w:val="false"/>
          <w:i w:val="false"/>
          <w:iCs w:val="false"/>
          <w:color w:val="1A1A1A"/>
          <w:sz w:val="22"/>
          <w:szCs w:val="22"/>
        </w:rPr>
        <w:t xml:space="preserve">Cada terapeuta está obligado a registrar en MN Program la asistencia de cada sesión. Es la base para calcular correctamente los pluses y permite a las coordinadoras detectar patrones de incidencia que anticipen posibles bajas.</w:t>
      </w:r>
    </w:p>
    <w:p>
      <w:pPr>
        <w:pStyle w:val="Heading2"/>
        <w:spacing w:after="140" w:before="280"/>
      </w:pPr>
      <w:r>
        <w:rPr>
          <w:rFonts w:ascii="Arial" w:cs="Arial" w:eastAsia="Arial" w:hAnsi="Arial"/>
          <w:b/>
          <w:bCs/>
          <w:color w:val="2E86C1"/>
          <w:sz w:val="28"/>
          <w:szCs w:val="28"/>
        </w:rPr>
        <w:t xml:space="preserve">5.15 Sistema de Recuperaciones (en construcción)</w:t>
      </w:r>
    </w:p>
    <w:p>
      <w:pPr>
        <w:spacing w:after="60" w:before="60"/>
        <w:jc w:val="left"/>
      </w:pPr>
      <w:r>
        <w:rPr>
          <w:rFonts w:ascii="Arial" w:cs="Arial" w:eastAsia="Arial" w:hAnsi="Arial"/>
          <w:b w:val="false"/>
          <w:bCs w:val="false"/>
          <w:i w:val="false"/>
          <w:iCs w:val="false"/>
          <w:color w:val="1A1A1A"/>
          <w:sz w:val="22"/>
          <w:szCs w:val="22"/>
        </w:rPr>
        <w:t xml:space="preserve">Cuando un terapeuta no puede realizar una sesión, la política es recuperar siempre que sea posible. A marzo de 2026 el sistema formal está en proceso de implementación.</w:t>
      </w:r>
    </w:p>
    <w:p>
      <w:pPr>
        <w:pStyle w:val="Heading2"/>
        <w:spacing w:after="140" w:before="280"/>
      </w:pPr>
      <w:r>
        <w:rPr>
          <w:rFonts w:ascii="Arial" w:cs="Arial" w:eastAsia="Arial" w:hAnsi="Arial"/>
          <w:b/>
          <w:bCs/>
          <w:color w:val="2E86C1"/>
          <w:sz w:val="28"/>
          <w:szCs w:val="28"/>
        </w:rPr>
        <w:t xml:space="preserve">5.16 Modelo de costes salariales en TPT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00"/>
        <w:gridCol w:w="1500"/>
        <w:gridCol w:w="1480"/>
        <w:gridCol w:w="1280"/>
      </w:tblGrid>
      <w:tr>
        <w:tc>
          <w:tcPr>
            <w:tcW w:type="dxa" w:w="22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Perfil</w:t>
            </w:r>
          </w:p>
        </w:tc>
        <w:tc>
          <w:tcPr>
            <w:tcW w:type="dxa" w:w="14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Jornada</w:t>
            </w:r>
          </w:p>
        </w:tc>
        <w:tc>
          <w:tcPr>
            <w:tcW w:type="dxa" w:w="15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Bruto base/mes</w:t>
            </w:r>
          </w:p>
        </w:tc>
        <w:tc>
          <w:tcPr>
            <w:tcW w:type="dxa" w:w="15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Plus Pegasus</w:t>
            </w:r>
          </w:p>
        </w:tc>
        <w:tc>
          <w:tcPr>
            <w:tcW w:type="dxa" w:w="148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Coste empresa/mes</w:t>
            </w:r>
          </w:p>
        </w:tc>
        <w:tc>
          <w:tcPr>
            <w:tcW w:type="dxa" w:w="128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Coste hora empresa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Terapeuta estándar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26h/sem</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1.213,83 €</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186,17 €</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1.848,00 €</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18,19 €</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Terapeuta jornada completa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38,5h/sem</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1.797,40 €</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186,17 €</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2.618,32 €</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18,19 €</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Coordinador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38,5h/sem</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1.797,40 €</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361,17 €</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2.849,31 €</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21,58 €</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Director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38,5h/sem</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1.797,40 €</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436,17 €</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2.948,31 €</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22,27 €</w:t>
            </w:r>
          </w:p>
        </w:tc>
      </w:tr>
    </w:tbl>
    <w:p>
      <w:pPr>
        <w:pStyle w:val="Heading2"/>
        <w:spacing w:after="140" w:before="280"/>
      </w:pPr>
      <w:r>
        <w:rPr>
          <w:rFonts w:ascii="Arial" w:cs="Arial" w:eastAsia="Arial" w:hAnsi="Arial"/>
          <w:b/>
          <w:bCs/>
          <w:color w:val="2E86C1"/>
          <w:sz w:val="28"/>
          <w:szCs w:val="28"/>
        </w:rPr>
        <w:t xml:space="preserve">5.17 Punto de break-even de TPT</w:t>
      </w:r>
    </w:p>
    <w:p>
      <w:pPr>
        <w:spacing w:after="60" w:before="60"/>
        <w:jc w:val="left"/>
      </w:pPr>
      <w:r>
        <w:rPr>
          <w:rFonts w:ascii="Arial" w:cs="Arial" w:eastAsia="Arial" w:hAnsi="Arial"/>
          <w:b w:val="false"/>
          <w:bCs w:val="false"/>
          <w:i w:val="false"/>
          <w:iCs w:val="false"/>
          <w:color w:val="1A1A1A"/>
          <w:sz w:val="22"/>
          <w:szCs w:val="22"/>
        </w:rPr>
        <w:t xml:space="preserve">Con la estructura actual (23 terapeutas, 2 coordinadores, 1 director), el coste mensual total de personal es aproximadamente 51.960€. Para cubrir ese coste se necesita una ocupación aproximada del 73% de las plazas disponibles. La ocupación actual es del 65%, situando TPT ligeramente por debajo del break-even cuando se incluyen costes completos de coordinación y dirección.</w:t>
      </w:r>
    </w:p>
    <w:p>
      <w:pPr>
        <w:pStyle w:val="Heading2"/>
        <w:spacing w:after="140" w:before="280"/>
      </w:pPr>
      <w:r>
        <w:rPr>
          <w:rFonts w:ascii="Arial" w:cs="Arial" w:eastAsia="Arial" w:hAnsi="Arial"/>
          <w:b/>
          <w:bCs/>
          <w:color w:val="2E86C1"/>
          <w:sz w:val="28"/>
          <w:szCs w:val="28"/>
        </w:rPr>
        <w:t xml:space="preserve">5.18 Captación y Gestión de Profesionales</w:t>
      </w:r>
    </w:p>
    <w:p>
      <w:pPr>
        <w:spacing w:after="60" w:before="60"/>
        <w:jc w:val="left"/>
      </w:pPr>
      <w:r>
        <w:rPr>
          <w:rFonts w:ascii="Arial" w:cs="Arial" w:eastAsia="Arial" w:hAnsi="Arial"/>
          <w:b w:val="false"/>
          <w:bCs w:val="false"/>
          <w:i w:val="false"/>
          <w:iCs w:val="false"/>
          <w:color w:val="1A1A1A"/>
          <w:sz w:val="22"/>
          <w:szCs w:val="22"/>
        </w:rPr>
        <w:t xml:space="preserve">La capacidad de atraer y retener profesionales terapéuticos es una de las restricciones operativas más críticas de Pegasus. El proceso de selección se desarrolla en tres fases: llamada logística (salario, ubicación, horarios), entrevista con el Director Técnico Rober (alineamiento con la filosofía Pegasus) y sesión práctica en el entorno real de trabajo.</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Los principales motivos de rotación son la aparición de ofertas de jornada completa y la dispersión geográfica. El sistema de pluses es la herramienta más eficaz de retención disponible, porque permite al terapeuta aumentar sus ingresos dentro de Pegasus.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FB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5.19 METODOLOGÍA DE INTERVENCIÓN EN TPT  ★ NUEVO EN V10</w:t>
            </w:r>
          </w:p>
        </w:tc>
      </w:tr>
    </w:tbl>
    <w:p>
      <w:pPr>
        <w:spacing w:after="40" w:before="40"/>
      </w:pPr>
      <w:r>
        <w:t xml:space="preserve"/>
      </w:r>
    </w:p>
    <w:p>
      <w:pPr>
        <w:spacing w:after="60" w:before="60"/>
        <w:jc w:val="left"/>
      </w:pPr>
      <w:r>
        <w:rPr>
          <w:rFonts w:ascii="Arial" w:cs="Arial" w:eastAsia="Arial" w:hAnsi="Arial"/>
          <w:b w:val="false"/>
          <w:bCs w:val="false"/>
          <w:i/>
          <w:iCs/>
          <w:color w:val="555555"/>
          <w:sz w:val="22"/>
          <w:szCs w:val="22"/>
        </w:rPr>
        <w:t xml:space="preserve">Este apartado documenta el cuerpo metodológico que sustenta cómo intervienen los profesionales de TPT en cada sesión. Es el resultado del trabajo de Rober (Director Técnico) y complementa la información operativa y económica de los apartados anteriores. Mientras que los apartados 5.1–5.18 describen el servicio desde fuera, este apartado describe lo que ocurre dentro.</w:t>
      </w:r>
    </w:p>
    <w:p>
      <w:pPr>
        <w:spacing w:after="40" w:before="40"/>
      </w:pPr>
      <w:r>
        <w:t xml:space="preserve"/>
      </w:r>
    </w:p>
    <w:p>
      <w:pPr>
        <w:pStyle w:val="Heading2"/>
        <w:spacing w:after="140" w:before="280"/>
      </w:pPr>
      <w:r>
        <w:rPr>
          <w:rFonts w:ascii="Arial" w:cs="Arial" w:eastAsia="Arial" w:hAnsi="Arial"/>
          <w:b/>
          <w:bCs/>
          <w:color w:val="2E86C1"/>
          <w:sz w:val="28"/>
          <w:szCs w:val="28"/>
        </w:rPr>
        <w:t xml:space="preserve">Propósito, misión y visión de TPT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73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PROPÓSITO</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"Reducir el impacto negativo que tiene el actual concepto de la discapacidad sobre el bienestar emocional de las personas."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MISIÓN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"Generar un movimiento de acceso universal que normalice las diferencias, emociones y miedos a través de la implementación de programas socioeducativos centrados en el juego y la inteligencia emocional."</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VISIÓN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 el modelo de intervención social que revolucione el tercer sector."</w:t>
            </w:r>
          </w:p>
        </w:tc>
      </w:tr>
    </w:tbl>
    <w:p>
      <w:pPr>
        <w:pStyle w:val="Heading2"/>
        <w:spacing w:after="140" w:before="280"/>
      </w:pPr>
      <w:r>
        <w:rPr>
          <w:rFonts w:ascii="Arial" w:cs="Arial" w:eastAsia="Arial" w:hAnsi="Arial"/>
          <w:b/>
          <w:bCs/>
          <w:color w:val="2E86C1"/>
          <w:sz w:val="28"/>
          <w:szCs w:val="28"/>
        </w:rPr>
        <w:t xml:space="preserve">Principios filosóficos de la intervención</w:t>
      </w:r>
    </w:p>
    <w:p>
      <w:pPr>
        <w:spacing w:after="60" w:before="60"/>
        <w:jc w:val="left"/>
      </w:pPr>
      <w:r>
        <w:rPr>
          <w:rFonts w:ascii="Arial" w:cs="Arial" w:eastAsia="Arial" w:hAnsi="Arial"/>
          <w:b w:val="false"/>
          <w:bCs w:val="false"/>
          <w:i w:val="false"/>
          <w:iCs w:val="false"/>
          <w:color w:val="1A1A1A"/>
          <w:sz w:val="22"/>
          <w:szCs w:val="22"/>
        </w:rPr>
        <w:t xml:space="preserve">Tres principios distinguen a TPT de los enfoques clínicos convencionales:</w:t>
      </w:r>
    </w:p>
    <w:p>
      <w:pPr>
        <w:spacing w:after="40" w:before="4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en lugar de buscar corregir debilidades, el enfoque se centra en proporcionar herramientas que potencien las capacidades individuales y mejoren la autonomía. No se habla de diagnósticos ni de limitaciones durante las sesiones.</w:t>
      </w:r>
      <w:r>
        <w:rPr>
          <w:rFonts w:ascii="Arial" w:cs="Arial" w:eastAsia="Arial" w:hAnsi="Arial"/>
          <w:color w:val="1A1A1A"/>
          <w:sz w:val="22"/>
          <w:szCs w:val="22"/>
        </w:rPr>
        <w:t xml:space="preserve">Enfoque no clínico: </w:t>
      </w:r>
    </w:p>
    <w:p>
      <w:pPr>
        <w:pStyle w:val="ListParagraph"/>
        <w:numPr>
          <w:ilvl w:val="0"/>
          <w:numId w:val="2"/>
        </w:numPr>
        <w:spacing w:after="40" w:before="40"/>
      </w:pPr>
      <w:r>
        <w:rPr>
          <w:rFonts w:ascii="Arial" w:cs="Arial" w:eastAsia="Arial" w:hAnsi="Arial"/>
          <w:b/>
          <w:bCs/>
          <w:color w:val="1A1A1A"/>
          <w:sz w:val="22"/>
          <w:szCs w:val="22"/>
        </w:rPr>
        <w:t xml:space="preserve">los objetivos terapéuticos no son el fin último. Son instrumentos para alcanzar el bienestar emocional del usuario y de su familia.</w:t>
      </w:r>
      <w:r>
        <w:rPr>
          <w:rFonts w:ascii="Arial" w:cs="Arial" w:eastAsia="Arial" w:hAnsi="Arial"/>
          <w:color w:val="1A1A1A"/>
          <w:sz w:val="22"/>
          <w:szCs w:val="22"/>
        </w:rPr>
        <w:t xml:space="preserve">Terapia como medio, no como fin: </w:t>
      </w:r>
    </w:p>
    <w:p>
      <w:pPr>
        <w:pStyle w:val="ListParagraph"/>
        <w:numPr>
          <w:ilvl w:val="0"/>
          <w:numId w:val="2"/>
        </w:numPr>
        <w:spacing w:after="40" w:before="40"/>
      </w:pPr>
      <w:r>
        <w:rPr>
          <w:rFonts w:ascii="Arial" w:cs="Arial" w:eastAsia="Arial" w:hAnsi="Arial"/>
          <w:b/>
          <w:bCs/>
          <w:color w:val="1A1A1A"/>
          <w:sz w:val="22"/>
          <w:szCs w:val="22"/>
        </w:rPr>
        <w:t xml:space="preserve">a diferencia de los enfoques tradicionales centrados en el individuo, TPT involucra activamente a la familia. Para generar un cambio significativo en la vida del niño, es necesario impactar en su entorno.</w:t>
      </w:r>
      <w:r>
        <w:rPr>
          <w:rFonts w:ascii="Arial" w:cs="Arial" w:eastAsia="Arial" w:hAnsi="Arial"/>
          <w:color w:val="1A1A1A"/>
          <w:sz w:val="22"/>
          <w:szCs w:val="22"/>
        </w:rPr>
        <w:t xml:space="preserve">Cambio de foco al entorno familiar: </w:t>
      </w:r>
    </w:p>
    <w:p>
      <w:pPr>
        <w:pStyle w:val="Heading2"/>
        <w:spacing w:after="140" w:before="280"/>
      </w:pPr>
      <w:r>
        <w:rPr>
          <w:rFonts w:ascii="Arial" w:cs="Arial" w:eastAsia="Arial" w:hAnsi="Arial"/>
          <w:b/>
          <w:bCs/>
          <w:color w:val="2E86C1"/>
          <w:sz w:val="28"/>
          <w:szCs w:val="28"/>
        </w:rPr>
        <w:t xml:space="preserve">Principios metodológicos de intervención</w:t>
      </w:r>
    </w:p>
    <w:p>
      <w:pPr>
        <w:spacing w:after="60" w:before="60"/>
        <w:jc w:val="left"/>
      </w:pPr>
      <w:r>
        <w:rPr>
          <w:rFonts w:ascii="Arial" w:cs="Arial" w:eastAsia="Arial" w:hAnsi="Arial"/>
          <w:b w:val="false"/>
          <w:bCs w:val="false"/>
          <w:i w:val="false"/>
          <w:iCs w:val="false"/>
          <w:color w:val="1A1A1A"/>
          <w:sz w:val="22"/>
          <w:szCs w:val="22"/>
        </w:rPr>
        <w:t xml:space="preserve">Seis principios guían el diseño y ejecución de cada sesión:</w:t>
      </w:r>
    </w:p>
    <w:p>
      <w:pPr>
        <w:spacing w:after="40" w:before="40"/>
      </w:pPr>
      <w:r>
        <w:t xml:space="preserve"/>
      </w:r>
    </w:p>
    <w:p>
      <w:pPr>
        <w:pStyle w:val="Heading3"/>
        <w:spacing w:after="100" w:before="200"/>
      </w:pPr>
      <w:r>
        <w:rPr>
          <w:rFonts w:ascii="Arial" w:cs="Arial" w:eastAsia="Arial" w:hAnsi="Arial"/>
          <w:b/>
          <w:bCs/>
          <w:color w:val="1A1A1A"/>
          <w:sz w:val="24"/>
          <w:szCs w:val="24"/>
        </w:rPr>
        <w:t xml:space="preserve">1. Proyecto Socioeducativo</w:t>
      </w:r>
    </w:p>
    <w:p>
      <w:pPr>
        <w:spacing w:after="60" w:before="60"/>
        <w:jc w:val="left"/>
      </w:pPr>
      <w:r>
        <w:rPr>
          <w:rFonts w:ascii="Arial" w:cs="Arial" w:eastAsia="Arial" w:hAnsi="Arial"/>
          <w:b w:val="false"/>
          <w:bCs w:val="false"/>
          <w:i w:val="false"/>
          <w:iCs w:val="false"/>
          <w:color w:val="1A1A1A"/>
          <w:sz w:val="22"/>
          <w:szCs w:val="22"/>
        </w:rPr>
        <w:t xml:space="preserve">TPT es un proyecto socioeducativo. Esto implica la transmisión de valores, principios y habilidades que fortalezcan la cohesión social y promuevan el empoderamiento personal. La Inteligencia Emocional es la base de todas las intervenciones: permite a los usuarios comprender, gestionar y utilizar sus emociones de manera efectiva, desarrollando autoconciencia, autorregulación, empatía y habilidades sociales.</w:t>
      </w:r>
    </w:p>
    <w:p>
      <w:pPr>
        <w:pStyle w:val="Heading3"/>
        <w:spacing w:after="100" w:before="200"/>
      </w:pPr>
      <w:r>
        <w:rPr>
          <w:rFonts w:ascii="Arial" w:cs="Arial" w:eastAsia="Arial" w:hAnsi="Arial"/>
          <w:b/>
          <w:bCs/>
          <w:color w:val="1A1A1A"/>
          <w:sz w:val="24"/>
          <w:szCs w:val="24"/>
        </w:rPr>
        <w:t xml:space="preserve">2. Aprendizaje Enmascarado</w:t>
      </w:r>
    </w:p>
    <w:p>
      <w:pPr>
        <w:spacing w:after="60" w:before="60"/>
        <w:jc w:val="left"/>
      </w:pPr>
      <w:r>
        <w:rPr>
          <w:rFonts w:ascii="Arial" w:cs="Arial" w:eastAsia="Arial" w:hAnsi="Arial"/>
          <w:b w:val="false"/>
          <w:bCs w:val="false"/>
          <w:i w:val="false"/>
          <w:iCs w:val="false"/>
          <w:color w:val="1A1A1A"/>
          <w:sz w:val="22"/>
          <w:szCs w:val="22"/>
        </w:rPr>
        <w:t xml:space="preserve">El juego se convierte en el vehículo principal. Se define como una actividad que involucra la participación activa y voluntaria de los usuarios en situaciones divertidas, creativas y estimulantes, con el propósito de mejorar el bienestar emocional de manera disfrazada, sin que los usuarios perciban directamente el carácter terapéutico de la actividad. No hay mejor forma de lograr cambios que cuando el usuario no siente que está siendo intervenido.</w:t>
      </w:r>
    </w:p>
    <w:p>
      <w:pPr>
        <w:pStyle w:val="Heading3"/>
        <w:spacing w:after="100" w:before="200"/>
      </w:pPr>
      <w:r>
        <w:rPr>
          <w:rFonts w:ascii="Arial" w:cs="Arial" w:eastAsia="Arial" w:hAnsi="Arial"/>
          <w:b/>
          <w:bCs/>
          <w:color w:val="1A1A1A"/>
          <w:sz w:val="24"/>
          <w:szCs w:val="24"/>
        </w:rPr>
        <w:t xml:space="preserve">3. Vínculo</w:t>
      </w:r>
    </w:p>
    <w:p>
      <w:pPr>
        <w:spacing w:after="60" w:before="60"/>
        <w:jc w:val="left"/>
      </w:pPr>
      <w:r>
        <w:rPr>
          <w:rFonts w:ascii="Arial" w:cs="Arial" w:eastAsia="Arial" w:hAnsi="Arial"/>
          <w:b w:val="false"/>
          <w:bCs w:val="false"/>
          <w:i w:val="false"/>
          <w:iCs w:val="false"/>
          <w:color w:val="1A1A1A"/>
          <w:sz w:val="22"/>
          <w:szCs w:val="22"/>
        </w:rPr>
        <w:t xml:space="preserve">La primera misión del profesional es crear un vínculo sólido con el usuario y su familia. El vínculo representa una conexión profunda basada en la confianza mutua, la apertura emocional y el respeto recíproco. En TPT se adopta el rol de "profesional amigo": una relación horizontal que equilibra la cercanía con el profesionalismo y los límites éticos.</w:t>
      </w:r>
    </w:p>
    <w:p>
      <w:pPr>
        <w:pStyle w:val="Heading3"/>
        <w:spacing w:after="100" w:before="200"/>
      </w:pPr>
      <w:r>
        <w:rPr>
          <w:rFonts w:ascii="Arial" w:cs="Arial" w:eastAsia="Arial" w:hAnsi="Arial"/>
          <w:b/>
          <w:bCs/>
          <w:color w:val="1A1A1A"/>
          <w:sz w:val="24"/>
          <w:szCs w:val="24"/>
        </w:rPr>
        <w:t xml:space="preserve">4. Volición</w:t>
      </w:r>
    </w:p>
    <w:p>
      <w:pPr>
        <w:spacing w:after="60" w:before="60"/>
        <w:jc w:val="left"/>
      </w:pPr>
      <w:r>
        <w:rPr>
          <w:rFonts w:ascii="Arial" w:cs="Arial" w:eastAsia="Arial" w:hAnsi="Arial"/>
          <w:b w:val="false"/>
          <w:bCs w:val="false"/>
          <w:i w:val="false"/>
          <w:iCs w:val="false"/>
          <w:color w:val="1A1A1A"/>
          <w:sz w:val="22"/>
          <w:szCs w:val="22"/>
        </w:rPr>
        <w:t xml:space="preserve">La motivación intrínseca del participante es esencial. La diversión es el vehículo: el profesional debe lograr que el usuario desee participar de manera entusiasta, asegurando que las actividades estén alineadas con sus gustos e intereses. La volición evita la frustración y potencia los resultados terapéuticos.</w:t>
      </w:r>
    </w:p>
    <w:p>
      <w:pPr>
        <w:pStyle w:val="Heading3"/>
        <w:spacing w:after="100" w:before="200"/>
      </w:pPr>
      <w:r>
        <w:rPr>
          <w:rFonts w:ascii="Arial" w:cs="Arial" w:eastAsia="Arial" w:hAnsi="Arial"/>
          <w:b/>
          <w:bCs/>
          <w:color w:val="1A1A1A"/>
          <w:sz w:val="24"/>
          <w:szCs w:val="24"/>
        </w:rPr>
        <w:t xml:space="preserve">5. Valencia Positiva</w:t>
      </w:r>
    </w:p>
    <w:p>
      <w:pPr>
        <w:spacing w:after="60" w:before="60"/>
        <w:jc w:val="left"/>
      </w:pPr>
      <w:r>
        <w:rPr>
          <w:rFonts w:ascii="Arial" w:cs="Arial" w:eastAsia="Arial" w:hAnsi="Arial"/>
          <w:b w:val="false"/>
          <w:bCs w:val="false"/>
          <w:i w:val="false"/>
          <w:iCs w:val="false"/>
          <w:color w:val="1A1A1A"/>
          <w:sz w:val="22"/>
          <w:szCs w:val="22"/>
        </w:rPr>
        <w:t xml:space="preserve">Los usuarios deben percibir TPT como una experiencia globalmente agradable, a pesar de que en ciertos momentos puedan surgir desafíos o frustraciones. La herramienta es la técnica del "Sandwich": al inicio y al final de cada sesión se incorporan elementos positivos y gratificantes; en el núcleo se introducen los aspectos más exigentes. Esto mantiene la motivación y el compromiso a lo largo del proceso.</w:t>
      </w:r>
    </w:p>
    <w:p>
      <w:pPr>
        <w:pStyle w:val="Heading3"/>
        <w:spacing w:after="100" w:before="200"/>
      </w:pPr>
      <w:r>
        <w:rPr>
          <w:rFonts w:ascii="Arial" w:cs="Arial" w:eastAsia="Arial" w:hAnsi="Arial"/>
          <w:b/>
          <w:bCs/>
          <w:color w:val="1A1A1A"/>
          <w:sz w:val="24"/>
          <w:szCs w:val="24"/>
        </w:rPr>
        <w:t xml:space="preserve">6. Aprendizaje Incidental</w:t>
      </w:r>
    </w:p>
    <w:p>
      <w:pPr>
        <w:spacing w:after="60" w:before="60"/>
        <w:jc w:val="left"/>
      </w:pPr>
      <w:r>
        <w:rPr>
          <w:rFonts w:ascii="Arial" w:cs="Arial" w:eastAsia="Arial" w:hAnsi="Arial"/>
          <w:b w:val="false"/>
          <w:bCs w:val="false"/>
          <w:i w:val="false"/>
          <w:iCs w:val="false"/>
          <w:color w:val="1A1A1A"/>
          <w:sz w:val="22"/>
          <w:szCs w:val="22"/>
        </w:rPr>
        <w:t xml:space="preserve">Las situaciones inesperadas que emergen durante una sesión —desafíos, dilemas, conflictos— son abrazadas como oportunidades de aprendizaje. No son obstáculos: son el mejor material terapéutico disponible. El profesional debe tener la sensibilidad para detectarlos y la flexibilidad para incorporarlos.</w:t>
      </w:r>
    </w:p>
    <w:p>
      <w:pPr>
        <w:pStyle w:val="Heading2"/>
        <w:spacing w:after="140" w:before="280"/>
      </w:pPr>
      <w:r>
        <w:rPr>
          <w:rFonts w:ascii="Arial" w:cs="Arial" w:eastAsia="Arial" w:hAnsi="Arial"/>
          <w:b/>
          <w:bCs/>
          <w:color w:val="2E86C1"/>
          <w:sz w:val="28"/>
          <w:szCs w:val="28"/>
        </w:rPr>
        <w:t xml:space="preserve">Objetivos de TPT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1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Objetivo</w:t>
            </w:r>
          </w:p>
        </w:tc>
        <w:tc>
          <w:tcPr>
            <w:tcW w:type="dxa" w:w="30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Modalidad de sesión asociada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General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"Reducir el impacto negativo que tiene el actual concepto de la discapacidad sobre el bienestar emocional de las personas."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Todas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Específico 1</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"Incrementar la funcionalidad del participante mediante la integración armónica y equilibrada de su discapacidad en la vida cotidiana."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Juega Conmigo</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Específico 2</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"Reducir las actitudes y creencias limitantes respecto a la discapacidad, aliando las expectativas familiares con las capacidades reales del niño."</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Papás a la Charleta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Específico 3</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"Potenciar el desarrollo de vínculos efectivos, seguros y sanos dentro del núcleo familiar."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Papás al Suelo</w:t>
            </w:r>
          </w:p>
        </w:tc>
      </w:tr>
    </w:tbl>
    <w:p>
      <w:pPr>
        <w:pStyle w:val="Heading2"/>
        <w:spacing w:after="140" w:before="280"/>
      </w:pPr>
      <w:r>
        <w:rPr>
          <w:rFonts w:ascii="Arial" w:cs="Arial" w:eastAsia="Arial" w:hAnsi="Arial"/>
          <w:b/>
          <w:bCs/>
          <w:color w:val="2E86C1"/>
          <w:sz w:val="28"/>
          <w:szCs w:val="28"/>
        </w:rPr>
        <w:t xml:space="preserve">La familia como foco central</w:t>
      </w:r>
    </w:p>
    <w:p>
      <w:pPr>
        <w:spacing w:after="60" w:before="60"/>
        <w:jc w:val="left"/>
      </w:pPr>
      <w:r>
        <w:rPr>
          <w:rFonts w:ascii="Arial" w:cs="Arial" w:eastAsia="Arial" w:hAnsi="Arial"/>
          <w:b w:val="false"/>
          <w:bCs w:val="false"/>
          <w:i w:val="false"/>
          <w:iCs w:val="false"/>
          <w:color w:val="1A1A1A"/>
          <w:sz w:val="22"/>
          <w:szCs w:val="22"/>
        </w:rPr>
        <w:t xml:space="preserve">TPT no es solo terapia para el niño: es intervención en el sistema familiar. Las personas que verdaderamente sufren son las familias. Si se quiere generar un impacto positivo en el sistema del usuario, no basta con centrarse en él: hay que impactar en su entorno. Esto se materializa en tres modalidades específicas de sesión:</w:t>
      </w:r>
    </w:p>
    <w:p>
      <w:pPr>
        <w:spacing w:after="40" w:before="4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núcleo terapéutico central. Fisioterapia, logopedia, terapia ocupacional, psicología. Atención individualizada con objetivo de funcionalidad cotidiana.</w:t>
      </w:r>
      <w:r>
        <w:rPr>
          <w:rFonts w:ascii="Arial" w:cs="Arial" w:eastAsia="Arial" w:hAnsi="Arial"/>
          <w:color w:val="1A1A1A"/>
          <w:sz w:val="22"/>
          <w:szCs w:val="22"/>
        </w:rPr>
        <w:t xml:space="preserve">Juega Conmigo: </w:t>
      </w:r>
    </w:p>
    <w:p>
      <w:pPr>
        <w:pStyle w:val="ListParagraph"/>
        <w:numPr>
          <w:ilvl w:val="0"/>
          <w:numId w:val="2"/>
        </w:numPr>
        <w:spacing w:after="40" w:before="40"/>
      </w:pPr>
      <w:r>
        <w:rPr>
          <w:rFonts w:ascii="Arial" w:cs="Arial" w:eastAsia="Arial" w:hAnsi="Arial"/>
          <w:b/>
          <w:bCs/>
          <w:color w:val="1A1A1A"/>
          <w:sz w:val="22"/>
          <w:szCs w:val="22"/>
        </w:rPr>
        <w:t xml:space="preserve">sesión enfocada en las familias. Acompañamiento en el proceso de aceptación de la discapacidad. Herramientas para alinear expectativas con la realidad del desarrollo del niño.</w:t>
      </w:r>
      <w:r>
        <w:rPr>
          <w:rFonts w:ascii="Arial" w:cs="Arial" w:eastAsia="Arial" w:hAnsi="Arial"/>
          <w:color w:val="1A1A1A"/>
          <w:sz w:val="22"/>
          <w:szCs w:val="22"/>
        </w:rPr>
        <w:t xml:space="preserve">Papás a la Charleta: </w:t>
      </w:r>
    </w:p>
    <w:p>
      <w:pPr>
        <w:pStyle w:val="ListParagraph"/>
        <w:numPr>
          <w:ilvl w:val="0"/>
          <w:numId w:val="2"/>
        </w:numPr>
        <w:spacing w:after="40" w:before="40"/>
      </w:pPr>
      <w:r>
        <w:rPr>
          <w:rFonts w:ascii="Arial" w:cs="Arial" w:eastAsia="Arial" w:hAnsi="Arial"/>
          <w:b/>
          <w:bCs/>
          <w:color w:val="1A1A1A"/>
          <w:sz w:val="22"/>
          <w:szCs w:val="22"/>
        </w:rPr>
        <w:t xml:space="preserve">participación activa de las familias en la terapia del niño como miembro más de la dinámica. Fomenta vínculos afectivos sólidos y sanos dentro del núcleo familiar.</w:t>
      </w:r>
      <w:r>
        <w:rPr>
          <w:rFonts w:ascii="Arial" w:cs="Arial" w:eastAsia="Arial" w:hAnsi="Arial"/>
          <w:color w:val="1A1A1A"/>
          <w:sz w:val="22"/>
          <w:szCs w:val="22"/>
        </w:rPr>
        <w:t xml:space="preserve">Papás al Suelo: </w:t>
      </w:r>
    </w:p>
    <w:p>
      <w:pPr>
        <w:pStyle w:val="Heading2"/>
        <w:spacing w:after="140" w:before="280"/>
      </w:pPr>
      <w:r>
        <w:rPr>
          <w:rFonts w:ascii="Arial" w:cs="Arial" w:eastAsia="Arial" w:hAnsi="Arial"/>
          <w:b/>
          <w:bCs/>
          <w:color w:val="2E86C1"/>
          <w:sz w:val="28"/>
          <w:szCs w:val="28"/>
        </w:rPr>
        <w:t xml:space="preserve">Principios de las clases</w:t>
      </w:r>
    </w:p>
    <w:p>
      <w:pPr>
        <w:spacing w:after="60" w:before="60"/>
        <w:jc w:val="left"/>
      </w:pPr>
      <w:r>
        <w:rPr>
          <w:rFonts w:ascii="Arial" w:cs="Arial" w:eastAsia="Arial" w:hAnsi="Arial"/>
          <w:b w:val="false"/>
          <w:bCs w:val="false"/>
          <w:i w:val="false"/>
          <w:iCs w:val="false"/>
          <w:color w:val="1A1A1A"/>
          <w:sz w:val="22"/>
          <w:szCs w:val="22"/>
        </w:rPr>
        <w:t xml:space="preserve">Los principios de las clases se articulan en torno a dos pilares fundamentales: la Diversión y la Inclusión Social.</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La Diversión se despliega a través de tres principios: Dinámicas (vitalidad y adaptabilidad del profesional), Inmersivas (profesional como agente activo dentro del juego, no observador externo) y Adecuación Pedagógica (actividades en la zona de desarrollo próximo del usuario: ni aburridas ni frustrantes).</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La Inclusión Social se despliega a través de dos principios: Interactivas (fomento de la relación entre participantes mediante competición y cooperación) y Equitativas e Inclusivas (adaptaciones y handicaps para que todos puedan participar, competir y destacar independientemente de sus capacidades).</w:t>
      </w:r>
    </w:p>
    <w:p>
      <w:pPr>
        <w:spacing w:after="40" w:before="40"/>
      </w:pPr>
      <w:r>
        <w:t xml:space="preserve"/>
      </w:r>
    </w:p>
    <w:p>
      <w:pPr>
        <w:pBdr>
          <w:left w:val="single" w:color="2E86C1" w:sz="6"/>
        </w:pBdr>
        <w:spacing w:after="80" w:before="80"/>
        <w:ind w:left="360"/>
      </w:pPr>
      <w:r>
        <w:rPr>
          <w:rFonts w:ascii="Arial" w:cs="Arial" w:eastAsia="Arial" w:hAnsi="Arial"/>
          <w:i/>
          <w:iCs/>
          <w:color w:val="555555"/>
          <w:sz w:val="20"/>
          <w:szCs w:val="20"/>
        </w:rPr>
        <w:t xml:space="preserve">NOTA: En las clases individuales se activan principalmente los principios de Diversión. En parejas y grupos se activan ambos pilares simultáneamente.</w:t>
      </w:r>
    </w:p>
    <w:p>
      <w:pPr>
        <w:pStyle w:val="Heading2"/>
        <w:spacing w:after="140" w:before="280"/>
      </w:pPr>
      <w:r>
        <w:rPr>
          <w:rFonts w:ascii="Arial" w:cs="Arial" w:eastAsia="Arial" w:hAnsi="Arial"/>
          <w:b/>
          <w:bCs/>
          <w:color w:val="2E86C1"/>
          <w:sz w:val="28"/>
          <w:szCs w:val="28"/>
        </w:rPr>
        <w:t xml:space="preserve">Las tres herramientas de diversión</w:t>
      </w:r>
    </w:p>
    <w:p>
      <w:pPr>
        <w:pStyle w:val="Heading3"/>
        <w:spacing w:after="100" w:before="200"/>
      </w:pPr>
      <w:r>
        <w:rPr>
          <w:rFonts w:ascii="Arial" w:cs="Arial" w:eastAsia="Arial" w:hAnsi="Arial"/>
          <w:b/>
          <w:bCs/>
          <w:color w:val="1A1A1A"/>
          <w:sz w:val="24"/>
          <w:szCs w:val="24"/>
        </w:rPr>
        <w:t xml:space="preserve">El Juego (importancia del diseño)</w:t>
      </w:r>
    </w:p>
    <w:p>
      <w:pPr>
        <w:spacing w:after="60" w:before="60"/>
        <w:jc w:val="left"/>
      </w:pPr>
      <w:r>
        <w:rPr>
          <w:rFonts w:ascii="Arial" w:cs="Arial" w:eastAsia="Arial" w:hAnsi="Arial"/>
          <w:b w:val="false"/>
          <w:bCs w:val="false"/>
          <w:i w:val="false"/>
          <w:iCs w:val="false"/>
          <w:color w:val="1A1A1A"/>
          <w:sz w:val="22"/>
          <w:szCs w:val="22"/>
        </w:rPr>
        <w:t xml:space="preserve">Un juego es una actividad estructurada que combina elementos lúdicos con objetivos pedagógicos. Está diseñado para facilitar el aprendizaje a través de la experiencia, la interacción y la reflexión. Los elementos esenciales son:</w:t>
      </w:r>
    </w:p>
    <w:p>
      <w:pPr>
        <w:pStyle w:val="ListParagraph"/>
        <w:numPr>
          <w:ilvl w:val="0"/>
          <w:numId w:val="2"/>
        </w:numPr>
        <w:spacing w:after="40" w:before="40"/>
      </w:pPr>
      <w:r>
        <w:rPr>
          <w:rFonts w:ascii="Arial" w:cs="Arial" w:eastAsia="Arial" w:hAnsi="Arial"/>
          <w:color w:val="1A1A1A"/>
          <w:sz w:val="22"/>
          <w:szCs w:val="22"/>
        </w:rPr>
        <w:t xml:space="preserve">Estructura clara, objetivos definidos, reglas explícitas.</w:t>
      </w:r>
    </w:p>
    <w:p>
      <w:pPr>
        <w:pStyle w:val="ListParagraph"/>
        <w:numPr>
          <w:ilvl w:val="0"/>
          <w:numId w:val="2"/>
        </w:numPr>
        <w:spacing w:after="40" w:before="40"/>
      </w:pPr>
      <w:r>
        <w:rPr>
          <w:rFonts w:ascii="Arial" w:cs="Arial" w:eastAsia="Arial" w:hAnsi="Arial"/>
          <w:color w:val="1A1A1A"/>
          <w:sz w:val="22"/>
          <w:szCs w:val="22"/>
        </w:rPr>
        <w:t xml:space="preserve">Tiempo determinado (o variable según fin).</w:t>
      </w:r>
    </w:p>
    <w:p>
      <w:pPr>
        <w:pStyle w:val="ListParagraph"/>
        <w:numPr>
          <w:ilvl w:val="0"/>
          <w:numId w:val="2"/>
        </w:numPr>
        <w:spacing w:after="40" w:before="40"/>
      </w:pPr>
      <w:r>
        <w:rPr>
          <w:rFonts w:ascii="Arial" w:cs="Arial" w:eastAsia="Arial" w:hAnsi="Arial"/>
          <w:color w:val="1A1A1A"/>
          <w:sz w:val="22"/>
          <w:szCs w:val="22"/>
        </w:rPr>
        <w:t xml:space="preserve">Roles diferenciados dentro de la actividad.</w:t>
      </w:r>
    </w:p>
    <w:p>
      <w:pPr>
        <w:pStyle w:val="ListParagraph"/>
        <w:numPr>
          <w:ilvl w:val="0"/>
          <w:numId w:val="2"/>
        </w:numPr>
        <w:spacing w:after="40" w:before="40"/>
      </w:pPr>
      <w:r>
        <w:rPr>
          <w:rFonts w:ascii="Arial" w:cs="Arial" w:eastAsia="Arial" w:hAnsi="Arial"/>
          <w:color w:val="1A1A1A"/>
          <w:sz w:val="22"/>
          <w:szCs w:val="22"/>
        </w:rPr>
        <w:t xml:space="preserve">Tres rondas con progresiones de dificultad y cooperación.</w:t>
      </w:r>
    </w:p>
    <w:p>
      <w:pPr>
        <w:pStyle w:val="ListParagraph"/>
        <w:numPr>
          <w:ilvl w:val="0"/>
          <w:numId w:val="2"/>
        </w:numPr>
        <w:spacing w:after="40" w:before="40"/>
      </w:pPr>
      <w:r>
        <w:rPr>
          <w:rFonts w:ascii="Arial" w:cs="Arial" w:eastAsia="Arial" w:hAnsi="Arial"/>
          <w:color w:val="1A1A1A"/>
          <w:sz w:val="22"/>
          <w:szCs w:val="22"/>
        </w:rPr>
        <w:t xml:space="preserve">Posibilidad de sistema de puntuación y nombres de equipos.</w:t>
      </w:r>
    </w:p>
    <w:p>
      <w:pPr>
        <w:pStyle w:val="ListParagraph"/>
        <w:numPr>
          <w:ilvl w:val="0"/>
          <w:numId w:val="2"/>
        </w:numPr>
        <w:spacing w:after="40" w:before="40"/>
      </w:pPr>
      <w:r>
        <w:rPr>
          <w:rFonts w:ascii="Arial" w:cs="Arial" w:eastAsia="Arial" w:hAnsi="Arial"/>
          <w:color w:val="1A1A1A"/>
          <w:sz w:val="22"/>
          <w:szCs w:val="22"/>
        </w:rPr>
        <w:t xml:space="preserve">La actividad debe generar un aprendizaje: físico, emocional o pedagógico.</w:t>
      </w:r>
    </w:p>
    <w:p>
      <w:pPr>
        <w:pStyle w:val="Heading3"/>
        <w:spacing w:after="100" w:before="200"/>
      </w:pPr>
      <w:r>
        <w:rPr>
          <w:rFonts w:ascii="Arial" w:cs="Arial" w:eastAsia="Arial" w:hAnsi="Arial"/>
          <w:b/>
          <w:bCs/>
          <w:color w:val="1A1A1A"/>
          <w:sz w:val="24"/>
          <w:szCs w:val="24"/>
        </w:rPr>
        <w:t xml:space="preserve">El Material (efecto Waouh)</w:t>
      </w:r>
    </w:p>
    <w:p>
      <w:pPr>
        <w:spacing w:after="60" w:before="60"/>
        <w:jc w:val="left"/>
      </w:pPr>
      <w:r>
        <w:rPr>
          <w:rFonts w:ascii="Arial" w:cs="Arial" w:eastAsia="Arial" w:hAnsi="Arial"/>
          <w:b w:val="false"/>
          <w:bCs w:val="false"/>
          <w:i w:val="false"/>
          <w:iCs w:val="false"/>
          <w:color w:val="1A1A1A"/>
          <w:sz w:val="22"/>
          <w:szCs w:val="22"/>
        </w:rPr>
        <w:t xml:space="preserve">El material debe ser explícito (elementos reales, no simbólicos), gigante (llamar la atención y que se note que está trabajando Pegasus), atractivo y reconocible (juguetes de marcas conocidas), variado (para evitar la rutina) y ambientado según la temática de la sesión.</w:t>
      </w:r>
    </w:p>
    <w:p>
      <w:pPr>
        <w:pStyle w:val="Heading3"/>
        <w:spacing w:after="100" w:before="200"/>
      </w:pPr>
      <w:r>
        <w:rPr>
          <w:rFonts w:ascii="Arial" w:cs="Arial" w:eastAsia="Arial" w:hAnsi="Arial"/>
          <w:b/>
          <w:bCs/>
          <w:color w:val="1A1A1A"/>
          <w:sz w:val="24"/>
          <w:szCs w:val="24"/>
        </w:rPr>
        <w:t xml:space="preserve">El Flow</w:t>
      </w:r>
    </w:p>
    <w:p>
      <w:pPr>
        <w:spacing w:after="60" w:before="60"/>
        <w:jc w:val="left"/>
      </w:pPr>
      <w:r>
        <w:rPr>
          <w:rFonts w:ascii="Arial" w:cs="Arial" w:eastAsia="Arial" w:hAnsi="Arial"/>
          <w:b w:val="false"/>
          <w:bCs w:val="false"/>
          <w:i w:val="false"/>
          <w:iCs w:val="false"/>
          <w:color w:val="1A1A1A"/>
          <w:sz w:val="22"/>
          <w:szCs w:val="22"/>
        </w:rPr>
        <w:t xml:space="preserve">El flow es un estilo de comunicación dinámico, activo y llamativo. La actitud del profesional debe ser arrolladora. Se tiene que apreciar que la Fundación Pegasus ha llegado a la instalación, desde el trato con el usuario y la familia hasta con el resto de personas presentes. El objetivo es generar muy buen ambiente en todo momento.</w:t>
      </w:r>
    </w:p>
    <w:p>
      <w:pPr>
        <w:pStyle w:val="Heading2"/>
        <w:spacing w:after="140" w:before="280"/>
      </w:pPr>
      <w:r>
        <w:rPr>
          <w:rFonts w:ascii="Arial" w:cs="Arial" w:eastAsia="Arial" w:hAnsi="Arial"/>
          <w:b/>
          <w:bCs/>
          <w:color w:val="2E86C1"/>
          <w:sz w:val="28"/>
          <w:szCs w:val="28"/>
        </w:rPr>
        <w:t xml:space="preserve">Triaje de usuarios en TPT</w:t>
      </w:r>
    </w:p>
    <w:p>
      <w:pPr>
        <w:spacing w:after="60" w:before="60"/>
        <w:jc w:val="left"/>
      </w:pPr>
      <w:r>
        <w:rPr>
          <w:rFonts w:ascii="Arial" w:cs="Arial" w:eastAsia="Arial" w:hAnsi="Arial"/>
          <w:b w:val="false"/>
          <w:bCs w:val="false"/>
          <w:i w:val="false"/>
          <w:iCs w:val="false"/>
          <w:color w:val="1A1A1A"/>
          <w:sz w:val="22"/>
          <w:szCs w:val="22"/>
        </w:rPr>
        <w:t xml:space="preserve">El triaje es la herramienta que permite clasificar a los usuarios en función de criterios específicos para personalizar la intervención. No es una evaluación clínica: es una herramienta educativa y organizativa. Cumple dos propósitos: adecuar la intervención a las características individuales del usuario y adaptar los objetivos y elementos de cada sesión.</w:t>
      </w:r>
    </w:p>
    <w:p>
      <w:pPr>
        <w:spacing w:after="40" w:before="40"/>
      </w:pPr>
      <w:r>
        <w:t xml:space="preserve"/>
      </w:r>
    </w:p>
    <w:p>
      <w:pPr>
        <w:pStyle w:val="Heading3"/>
        <w:spacing w:after="100" w:before="200"/>
      </w:pPr>
      <w:r>
        <w:rPr>
          <w:rFonts w:ascii="Arial" w:cs="Arial" w:eastAsia="Arial" w:hAnsi="Arial"/>
          <w:b/>
          <w:bCs/>
          <w:color w:val="1A1A1A"/>
          <w:sz w:val="24"/>
          <w:szCs w:val="24"/>
        </w:rPr>
        <w:t xml:space="preserve">Bloque 1 — Evaluación Cognitiva y de Autonomía Física</w:t>
      </w:r>
    </w:p>
    <w:p>
      <w:pPr>
        <w:spacing w:after="60" w:before="60"/>
        <w:jc w:val="left"/>
      </w:pPr>
      <w:r>
        <w:rPr>
          <w:rFonts w:ascii="Arial" w:cs="Arial" w:eastAsia="Arial" w:hAnsi="Arial"/>
          <w:b w:val="false"/>
          <w:bCs w:val="false"/>
          <w:i w:val="false"/>
          <w:iCs w:val="false"/>
          <w:color w:val="1A1A1A"/>
          <w:sz w:val="22"/>
          <w:szCs w:val="22"/>
        </w:rPr>
        <w:t xml:space="preserve">Evalúa la capacidad de comunicación (6 perfiles, de 1A a 3B) y el nivel de autonomía en el entorno (Dependiente / Semidependiente / Autónomo):</w:t>
      </w:r>
    </w:p>
    <w:p>
      <w:pPr>
        <w:pStyle w:val="ListParagraph"/>
        <w:numPr>
          <w:ilvl w:val="0"/>
          <w:numId w:val="2"/>
        </w:numPr>
        <w:spacing w:after="40" w:before="40"/>
      </w:pPr>
      <w:r>
        <w:rPr>
          <w:rFonts w:ascii="Arial" w:cs="Arial" w:eastAsia="Arial" w:hAnsi="Arial"/>
          <w:b/>
          <w:bCs/>
          <w:color w:val="1A1A1A"/>
          <w:sz w:val="22"/>
          <w:szCs w:val="22"/>
        </w:rPr>
        <w:t xml:space="preserve">Ausencia completa de comunicación. Sin respuesta a estímulos verbales o no verbales.</w:t>
      </w:r>
      <w:r>
        <w:rPr>
          <w:rFonts w:ascii="Arial" w:cs="Arial" w:eastAsia="Arial" w:hAnsi="Arial"/>
          <w:color w:val="1A1A1A"/>
          <w:sz w:val="22"/>
          <w:szCs w:val="22"/>
        </w:rPr>
        <w:t xml:space="preserve">Perfil 1A: </w:t>
      </w:r>
    </w:p>
    <w:p>
      <w:pPr>
        <w:pStyle w:val="ListParagraph"/>
        <w:numPr>
          <w:ilvl w:val="0"/>
          <w:numId w:val="2"/>
        </w:numPr>
        <w:spacing w:after="40" w:before="40"/>
      </w:pPr>
      <w:r>
        <w:rPr>
          <w:rFonts w:ascii="Arial" w:cs="Arial" w:eastAsia="Arial" w:hAnsi="Arial"/>
          <w:b/>
          <w:bCs/>
          <w:color w:val="1A1A1A"/>
          <w:sz w:val="22"/>
          <w:szCs w:val="22"/>
        </w:rPr>
        <w:t xml:space="preserve">Respuesta mínima a estímulos. Gestos no controlados, contacto visual ocasional.</w:t>
      </w:r>
      <w:r>
        <w:rPr>
          <w:rFonts w:ascii="Arial" w:cs="Arial" w:eastAsia="Arial" w:hAnsi="Arial"/>
          <w:color w:val="1A1A1A"/>
          <w:sz w:val="22"/>
          <w:szCs w:val="22"/>
        </w:rPr>
        <w:t xml:space="preserve">Perfil 1B: </w:t>
      </w:r>
    </w:p>
    <w:p>
      <w:pPr>
        <w:pStyle w:val="ListParagraph"/>
        <w:numPr>
          <w:ilvl w:val="0"/>
          <w:numId w:val="2"/>
        </w:numPr>
        <w:spacing w:after="40" w:before="40"/>
      </w:pPr>
      <w:r>
        <w:rPr>
          <w:rFonts w:ascii="Arial" w:cs="Arial" w:eastAsia="Arial" w:hAnsi="Arial"/>
          <w:b/>
          <w:bCs/>
          <w:color w:val="1A1A1A"/>
          <w:sz w:val="22"/>
          <w:szCs w:val="22"/>
        </w:rPr>
        <w:t xml:space="preserve">Comunicación básica y gestual. Gestos simples, instrucciones sencillas.</w:t>
      </w:r>
      <w:r>
        <w:rPr>
          <w:rFonts w:ascii="Arial" w:cs="Arial" w:eastAsia="Arial" w:hAnsi="Arial"/>
          <w:color w:val="1A1A1A"/>
          <w:sz w:val="22"/>
          <w:szCs w:val="22"/>
        </w:rPr>
        <w:t xml:space="preserve">Perfil 2A: </w:t>
      </w:r>
    </w:p>
    <w:p>
      <w:pPr>
        <w:pStyle w:val="ListParagraph"/>
        <w:numPr>
          <w:ilvl w:val="0"/>
          <w:numId w:val="2"/>
        </w:numPr>
        <w:spacing w:after="40" w:before="40"/>
      </w:pPr>
      <w:r>
        <w:rPr>
          <w:rFonts w:ascii="Arial" w:cs="Arial" w:eastAsia="Arial" w:hAnsi="Arial"/>
          <w:b/>
          <w:bCs/>
          <w:color w:val="1A1A1A"/>
          <w:sz w:val="22"/>
          <w:szCs w:val="22"/>
        </w:rPr>
        <w:t xml:space="preserve">Comunicación alternativa efectiva (pictogramas, lenguaje bimodal).</w:t>
      </w:r>
      <w:r>
        <w:rPr>
          <w:rFonts w:ascii="Arial" w:cs="Arial" w:eastAsia="Arial" w:hAnsi="Arial"/>
          <w:color w:val="1A1A1A"/>
          <w:sz w:val="22"/>
          <w:szCs w:val="22"/>
        </w:rPr>
        <w:t xml:space="preserve">Perfil 2B: </w:t>
      </w:r>
    </w:p>
    <w:p>
      <w:pPr>
        <w:pStyle w:val="ListParagraph"/>
        <w:numPr>
          <w:ilvl w:val="0"/>
          <w:numId w:val="2"/>
        </w:numPr>
        <w:spacing w:after="40" w:before="40"/>
      </w:pPr>
      <w:r>
        <w:rPr>
          <w:rFonts w:ascii="Arial" w:cs="Arial" w:eastAsia="Arial" w:hAnsi="Arial"/>
          <w:b/>
          <w:bCs/>
          <w:color w:val="1A1A1A"/>
          <w:sz w:val="22"/>
          <w:szCs w:val="22"/>
        </w:rPr>
        <w:t xml:space="preserve">Comunicación limitada pero efectiva. Comprende ideas complejas aunque la producción verbal sea limitada.</w:t>
      </w:r>
      <w:r>
        <w:rPr>
          <w:rFonts w:ascii="Arial" w:cs="Arial" w:eastAsia="Arial" w:hAnsi="Arial"/>
          <w:color w:val="1A1A1A"/>
          <w:sz w:val="22"/>
          <w:szCs w:val="22"/>
        </w:rPr>
        <w:t xml:space="preserve">Perfil 3A: </w:t>
      </w:r>
    </w:p>
    <w:p>
      <w:pPr>
        <w:pStyle w:val="ListParagraph"/>
        <w:numPr>
          <w:ilvl w:val="0"/>
          <w:numId w:val="2"/>
        </w:numPr>
        <w:spacing w:after="40" w:before="40"/>
      </w:pPr>
      <w:r>
        <w:rPr>
          <w:rFonts w:ascii="Arial" w:cs="Arial" w:eastAsia="Arial" w:hAnsi="Arial"/>
          <w:b/>
          <w:bCs/>
          <w:color w:val="1A1A1A"/>
          <w:sz w:val="22"/>
          <w:szCs w:val="22"/>
        </w:rPr>
        <w:t xml:space="preserve">Comunicación verbal fluida y efectiva.</w:t>
      </w:r>
      <w:r>
        <w:rPr>
          <w:rFonts w:ascii="Arial" w:cs="Arial" w:eastAsia="Arial" w:hAnsi="Arial"/>
          <w:color w:val="1A1A1A"/>
          <w:sz w:val="22"/>
          <w:szCs w:val="22"/>
        </w:rPr>
        <w:t xml:space="preserve">Perfil 3B: </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Perfiles 1A–2A: metodologías basadas en mando directo y condicionamiento. Perfiles 2B–3B: metodologías activas.</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La autonomía física en TPT se valora en sala (no en el medio acuático, que corresponde a IS).</w:t>
      </w:r>
    </w:p>
    <w:p>
      <w:pPr>
        <w:pStyle w:val="Heading3"/>
        <w:spacing w:after="100" w:before="200"/>
      </w:pPr>
      <w:r>
        <w:rPr>
          <w:rFonts w:ascii="Arial" w:cs="Arial" w:eastAsia="Arial" w:hAnsi="Arial"/>
          <w:b/>
          <w:bCs/>
          <w:color w:val="1A1A1A"/>
          <w:sz w:val="24"/>
          <w:szCs w:val="24"/>
        </w:rPr>
        <w:t xml:space="preserve">Bloque 2 — Evaluación Sensorial y Conductual</w:t>
      </w:r>
    </w:p>
    <w:p>
      <w:pPr>
        <w:spacing w:after="60" w:before="60"/>
        <w:jc w:val="left"/>
      </w:pPr>
      <w:r>
        <w:rPr>
          <w:rFonts w:ascii="Arial" w:cs="Arial" w:eastAsia="Arial" w:hAnsi="Arial"/>
          <w:b w:val="false"/>
          <w:bCs w:val="false"/>
          <w:i w:val="false"/>
          <w:iCs w:val="false"/>
          <w:color w:val="1A1A1A"/>
          <w:sz w:val="22"/>
          <w:szCs w:val="22"/>
        </w:rPr>
        <w:t xml:space="preserve">Evalúa el desarrollo sensorial (discapacidad auditiva o visual) y conductual (niveles de agresividad, miedo, condición médica relevante).</w:t>
      </w:r>
    </w:p>
    <w:p>
      <w:pPr>
        <w:pStyle w:val="Heading3"/>
        <w:spacing w:after="100" w:before="200"/>
      </w:pPr>
      <w:r>
        <w:rPr>
          <w:rFonts w:ascii="Arial" w:cs="Arial" w:eastAsia="Arial" w:hAnsi="Arial"/>
          <w:b/>
          <w:bCs/>
          <w:color w:val="1A1A1A"/>
          <w:sz w:val="24"/>
          <w:szCs w:val="24"/>
        </w:rPr>
        <w:t xml:space="preserve">Bloque 3 — Botones</w:t>
      </w:r>
    </w:p>
    <w:p>
      <w:pPr>
        <w:spacing w:after="60" w:before="60"/>
        <w:jc w:val="left"/>
      </w:pPr>
      <w:r>
        <w:rPr>
          <w:rFonts w:ascii="Arial" w:cs="Arial" w:eastAsia="Arial" w:hAnsi="Arial"/>
          <w:b w:val="false"/>
          <w:bCs w:val="false"/>
          <w:i w:val="false"/>
          <w:iCs w:val="false"/>
          <w:color w:val="1A1A1A"/>
          <w:sz w:val="22"/>
          <w:szCs w:val="22"/>
        </w:rPr>
        <w:t xml:space="preserve">Cuatro botones contextuales que modulan la interpretación del triaje:</w:t>
      </w:r>
    </w:p>
    <w:p>
      <w:pPr>
        <w:pStyle w:val="ListParagraph"/>
        <w:numPr>
          <w:ilvl w:val="0"/>
          <w:numId w:val="2"/>
        </w:numPr>
        <w:spacing w:after="40" w:before="40"/>
      </w:pPr>
      <w:r>
        <w:rPr>
          <w:rFonts w:ascii="Arial" w:cs="Arial" w:eastAsia="Arial" w:hAnsi="Arial"/>
          <w:b/>
          <w:bCs/>
          <w:color w:val="1A1A1A"/>
          <w:sz w:val="22"/>
          <w:szCs w:val="22"/>
        </w:rPr>
        <w:t xml:space="preserve">activo cuando la interpretación del triaje debe considerar la edad temprana del usuario.</w:t>
      </w:r>
      <w:r>
        <w:rPr>
          <w:rFonts w:ascii="Arial" w:cs="Arial" w:eastAsia="Arial" w:hAnsi="Arial"/>
          <w:color w:val="1A1A1A"/>
          <w:sz w:val="22"/>
          <w:szCs w:val="22"/>
        </w:rPr>
        <w:t xml:space="preserve">Edad: </w:t>
      </w:r>
    </w:p>
    <w:p>
      <w:pPr>
        <w:pStyle w:val="ListParagraph"/>
        <w:numPr>
          <w:ilvl w:val="0"/>
          <w:numId w:val="2"/>
        </w:numPr>
        <w:spacing w:after="40" w:before="40"/>
      </w:pPr>
      <w:r>
        <w:rPr>
          <w:rFonts w:ascii="Arial" w:cs="Arial" w:eastAsia="Arial" w:hAnsi="Arial"/>
          <w:b/>
          <w:bCs/>
          <w:color w:val="1A1A1A"/>
          <w:sz w:val="22"/>
          <w:szCs w:val="22"/>
        </w:rPr>
        <w:t xml:space="preserve">activo cuando existe una enfermedad en curso que requiere adaptaciones continuas.</w:t>
      </w:r>
      <w:r>
        <w:rPr>
          <w:rFonts w:ascii="Arial" w:cs="Arial" w:eastAsia="Arial" w:hAnsi="Arial"/>
          <w:color w:val="1A1A1A"/>
          <w:sz w:val="22"/>
          <w:szCs w:val="22"/>
        </w:rPr>
        <w:t xml:space="preserve">Enfermedad: </w:t>
      </w:r>
    </w:p>
    <w:p>
      <w:pPr>
        <w:pStyle w:val="ListParagraph"/>
        <w:numPr>
          <w:ilvl w:val="0"/>
          <w:numId w:val="2"/>
        </w:numPr>
        <w:spacing w:after="40" w:before="40"/>
      </w:pPr>
      <w:r>
        <w:rPr>
          <w:rFonts w:ascii="Arial" w:cs="Arial" w:eastAsia="Arial" w:hAnsi="Arial"/>
          <w:b/>
          <w:bCs/>
          <w:color w:val="1A1A1A"/>
          <w:sz w:val="22"/>
          <w:szCs w:val="22"/>
        </w:rPr>
        <w:t xml:space="preserve">activo cuando el triaje se considera constante por tratarse de una condición inmutable.</w:t>
      </w:r>
      <w:r>
        <w:rPr>
          <w:rFonts w:ascii="Arial" w:cs="Arial" w:eastAsia="Arial" w:hAnsi="Arial"/>
          <w:color w:val="1A1A1A"/>
          <w:sz w:val="22"/>
          <w:szCs w:val="22"/>
        </w:rPr>
        <w:t xml:space="preserve">Discapacidad: </w:t>
      </w:r>
    </w:p>
    <w:p>
      <w:pPr>
        <w:pStyle w:val="ListParagraph"/>
        <w:numPr>
          <w:ilvl w:val="0"/>
          <w:numId w:val="2"/>
        </w:numPr>
        <w:spacing w:after="40" w:before="40"/>
      </w:pPr>
      <w:r>
        <w:rPr>
          <w:rFonts w:ascii="Arial" w:cs="Arial" w:eastAsia="Arial" w:hAnsi="Arial"/>
          <w:b/>
          <w:bCs/>
          <w:color w:val="1A1A1A"/>
          <w:sz w:val="22"/>
          <w:szCs w:val="22"/>
        </w:rPr>
        <w:t xml:space="preserve">activo cuando la salud mental del usuario influye en el enfoque terapéutico.</w:t>
      </w:r>
      <w:r>
        <w:rPr>
          <w:rFonts w:ascii="Arial" w:cs="Arial" w:eastAsia="Arial" w:hAnsi="Arial"/>
          <w:color w:val="1A1A1A"/>
          <w:sz w:val="22"/>
          <w:szCs w:val="22"/>
        </w:rPr>
        <w:t xml:space="preserve">Enfermedad mental: </w:t>
      </w:r>
    </w:p>
    <w:p>
      <w:pPr>
        <w:pStyle w:val="Heading3"/>
        <w:spacing w:after="100" w:before="200"/>
      </w:pPr>
      <w:r>
        <w:rPr>
          <w:rFonts w:ascii="Arial" w:cs="Arial" w:eastAsia="Arial" w:hAnsi="Arial"/>
          <w:b/>
          <w:bCs/>
          <w:color w:val="1A1A1A"/>
          <w:sz w:val="24"/>
          <w:szCs w:val="24"/>
        </w:rPr>
        <w:t xml:space="preserve">Qué determina el triaje</w:t>
      </w:r>
    </w:p>
    <w:p>
      <w:pPr>
        <w:pStyle w:val="ListParagraph"/>
        <w:numPr>
          <w:ilvl w:val="0"/>
          <w:numId w:val="2"/>
        </w:numPr>
        <w:spacing w:after="40" w:before="40"/>
      </w:pPr>
      <w:r>
        <w:rPr>
          <w:rFonts w:ascii="Arial" w:cs="Arial" w:eastAsia="Arial" w:hAnsi="Arial"/>
          <w:b/>
          <w:bCs/>
          <w:color w:val="1A1A1A"/>
          <w:sz w:val="22"/>
          <w:szCs w:val="22"/>
        </w:rPr>
        <w:t xml:space="preserve">individual (1:1), pareja (1:2) o grupo (1:4–1:8).</w:t>
      </w:r>
      <w:r>
        <w:rPr>
          <w:rFonts w:ascii="Arial" w:cs="Arial" w:eastAsia="Arial" w:hAnsi="Arial"/>
          <w:color w:val="1A1A1A"/>
          <w:sz w:val="22"/>
          <w:szCs w:val="22"/>
        </w:rPr>
        <w:t xml:space="preserve">Ratio de sesión: </w:t>
      </w:r>
    </w:p>
    <w:p>
      <w:pPr>
        <w:pStyle w:val="ListParagraph"/>
        <w:numPr>
          <w:ilvl w:val="0"/>
          <w:numId w:val="2"/>
        </w:numPr>
        <w:spacing w:after="40" w:before="40"/>
      </w:pPr>
      <w:r>
        <w:rPr>
          <w:rFonts w:ascii="Arial" w:cs="Arial" w:eastAsia="Arial" w:hAnsi="Arial"/>
          <w:b/>
          <w:bCs/>
          <w:color w:val="1A1A1A"/>
          <w:sz w:val="22"/>
          <w:szCs w:val="22"/>
        </w:rPr>
        <w:t xml:space="preserve">mando directo o metodologías activas según el perfil de comunicación.</w:t>
      </w:r>
      <w:r>
        <w:rPr>
          <w:rFonts w:ascii="Arial" w:cs="Arial" w:eastAsia="Arial" w:hAnsi="Arial"/>
          <w:color w:val="1A1A1A"/>
          <w:sz w:val="22"/>
          <w:szCs w:val="22"/>
        </w:rPr>
        <w:t xml:space="preserve">Metodología educativa: </w:t>
      </w:r>
    </w:p>
    <w:p>
      <w:pPr>
        <w:pStyle w:val="ListParagraph"/>
        <w:numPr>
          <w:ilvl w:val="0"/>
          <w:numId w:val="2"/>
        </w:numPr>
        <w:spacing w:after="40" w:before="40"/>
      </w:pPr>
      <w:r>
        <w:rPr>
          <w:rFonts w:ascii="Arial" w:cs="Arial" w:eastAsia="Arial" w:hAnsi="Arial"/>
          <w:b/>
          <w:bCs/>
          <w:color w:val="1A1A1A"/>
          <w:sz w:val="22"/>
          <w:szCs w:val="22"/>
        </w:rPr>
        <w:t xml:space="preserve">material, comunicación y manipulación adaptados al perfil sensorial y conductual.</w:t>
      </w:r>
      <w:r>
        <w:rPr>
          <w:rFonts w:ascii="Arial" w:cs="Arial" w:eastAsia="Arial" w:hAnsi="Arial"/>
          <w:color w:val="1A1A1A"/>
          <w:sz w:val="22"/>
          <w:szCs w:val="22"/>
        </w:rPr>
        <w:t xml:space="preserve">Adaptaciones de calidad: </w:t>
      </w:r>
    </w:p>
    <w:p>
      <w:pPr>
        <w:pStyle w:val="ListParagraph"/>
        <w:numPr>
          <w:ilvl w:val="0"/>
          <w:numId w:val="2"/>
        </w:numPr>
        <w:spacing w:after="40" w:before="40"/>
      </w:pPr>
      <w:r>
        <w:rPr>
          <w:rFonts w:ascii="Arial" w:cs="Arial" w:eastAsia="Arial" w:hAnsi="Arial"/>
          <w:b/>
          <w:bCs/>
          <w:color w:val="1A1A1A"/>
          <w:sz w:val="22"/>
          <w:szCs w:val="22"/>
        </w:rPr>
        <w:t xml:space="preserve">derivadas de las respuestas médicas y parámetros conductuales.</w:t>
      </w:r>
      <w:r>
        <w:rPr>
          <w:rFonts w:ascii="Arial" w:cs="Arial" w:eastAsia="Arial" w:hAnsi="Arial"/>
          <w:color w:val="1A1A1A"/>
          <w:sz w:val="22"/>
          <w:szCs w:val="22"/>
        </w:rPr>
        <w:t xml:space="preserve">Adaptaciones de seguridad: </w:t>
      </w:r>
    </w:p>
    <w:p>
      <w:pPr>
        <w:pStyle w:val="Heading2"/>
        <w:spacing w:after="140" w:before="280"/>
      </w:pPr>
      <w:r>
        <w:rPr>
          <w:rFonts w:ascii="Arial" w:cs="Arial" w:eastAsia="Arial" w:hAnsi="Arial"/>
          <w:b/>
          <w:bCs/>
          <w:color w:val="2E86C1"/>
          <w:sz w:val="28"/>
          <w:szCs w:val="28"/>
        </w:rPr>
        <w:t xml:space="preserve">Estructura general de las sesiones</w:t>
      </w:r>
    </w:p>
    <w:p>
      <w:pPr>
        <w:spacing w:after="60" w:before="60"/>
        <w:jc w:val="left"/>
      </w:pPr>
      <w:r>
        <w:rPr>
          <w:rFonts w:ascii="Arial" w:cs="Arial" w:eastAsia="Arial" w:hAnsi="Arial"/>
          <w:b w:val="false"/>
          <w:bCs w:val="false"/>
          <w:i w:val="false"/>
          <w:iCs w:val="false"/>
          <w:color w:val="1A1A1A"/>
          <w:sz w:val="22"/>
          <w:szCs w:val="22"/>
        </w:rPr>
        <w:t xml:space="preserve">Todas las sesiones de TPT comparten una estructura general independientemente de la especialidad y del tipo de parte principal. La temporalización varía según el tipo de sesión: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Parte de la sesión</w:t>
            </w:r>
          </w:p>
        </w:tc>
        <w:tc>
          <w:tcPr>
            <w:tcW w:type="dxa" w:w="20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Gamificada (min)</w:t>
            </w:r>
          </w:p>
        </w:tc>
        <w:tc>
          <w:tcPr>
            <w:tcW w:type="dxa" w:w="20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Técnica (min)</w:t>
            </w:r>
          </w:p>
        </w:tc>
        <w:tc>
          <w:tcPr>
            <w:tcW w:type="dxa" w:w="20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Mixta (min)</w:t>
            </w:r>
          </w:p>
        </w:tc>
      </w:tr>
      <w:tr>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PRECLASE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7B2FBE"/>
                <w:sz w:val="20"/>
                <w:szCs w:val="20"/>
              </w:rPr>
              <w:t xml:space="preserve">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7B2FBE"/>
                <w:sz w:val="20"/>
                <w:szCs w:val="20"/>
              </w:rPr>
              <w:t xml:space="preserve">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7B2FBE"/>
                <w:sz w:val="20"/>
                <w:szCs w:val="20"/>
              </w:rPr>
              <w:t xml:space="preserve">4</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CALENTAMIENTO (Social + Físico)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6</w:t>
            </w:r>
          </w:p>
        </w:tc>
      </w:tr>
      <w:tr>
        <w:tc>
          <w:tcPr>
            <w:tcW w:type="dxa" w:w="336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PARTE PRINCIPAL</w:t>
            </w:r>
          </w:p>
        </w:tc>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20</w:t>
            </w:r>
          </w:p>
        </w:tc>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15</w:t>
            </w:r>
          </w:p>
        </w:tc>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10+10</w:t>
            </w:r>
          </w:p>
        </w:tc>
      </w:tr>
      <w:tr>
        <w:tc>
          <w:tcPr>
            <w:tcW w:type="dxa" w:w="3360"/>
            <w:tcBorders>
              <w:top w:val="single" w:color="DDDDDD" w:sz="1"/>
              <w:left w:val="single" w:color="DDDDDD" w:sz="1"/>
              <w:bottom w:val="single" w:color="DDDDDD" w:sz="1"/>
              <w:right w:val="single" w:color="DDDDDD" w:sz="1"/>
            </w:tcBorders>
            <w:shd w:fill="F9E79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PARTE FINAL (Juego final)</w:t>
            </w:r>
          </w:p>
        </w:tc>
        <w:tc>
          <w:tcPr>
            <w:tcW w:type="dxa" w:w="2000"/>
            <w:tcBorders>
              <w:top w:val="single" w:color="DDDDDD" w:sz="1"/>
              <w:left w:val="single" w:color="DDDDDD" w:sz="1"/>
              <w:bottom w:val="single" w:color="DDDDDD" w:sz="1"/>
              <w:right w:val="single" w:color="DDDDDD" w:sz="1"/>
            </w:tcBorders>
            <w:shd w:fill="F9E79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6</w:t>
            </w:r>
          </w:p>
        </w:tc>
        <w:tc>
          <w:tcPr>
            <w:tcW w:type="dxa" w:w="2000"/>
            <w:tcBorders>
              <w:top w:val="single" w:color="DDDDDD" w:sz="1"/>
              <w:left w:val="single" w:color="DDDDDD" w:sz="1"/>
              <w:bottom w:val="single" w:color="DDDDDD" w:sz="1"/>
              <w:right w:val="single" w:color="DDDDDD" w:sz="1"/>
            </w:tcBorders>
            <w:shd w:fill="F9E79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11</w:t>
            </w:r>
          </w:p>
        </w:tc>
        <w:tc>
          <w:tcPr>
            <w:tcW w:type="dxa" w:w="2000"/>
            <w:tcBorders>
              <w:top w:val="single" w:color="DDDDDD" w:sz="1"/>
              <w:left w:val="single" w:color="DDDDDD" w:sz="1"/>
              <w:bottom w:val="single" w:color="DDDDDD" w:sz="1"/>
              <w:right w:val="single" w:color="DDDDDD" w:sz="1"/>
            </w:tcBorders>
            <w:shd w:fill="F9E79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6</w:t>
            </w:r>
          </w:p>
        </w:tc>
      </w:tr>
      <w:tr>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POSTCLASE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7B2FBE"/>
                <w:sz w:val="20"/>
                <w:szCs w:val="20"/>
              </w:rPr>
              <w:t xml:space="preserve">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7B2FBE"/>
                <w:sz w:val="20"/>
                <w:szCs w:val="20"/>
              </w:rPr>
              <w:t xml:space="preserve">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7B2FBE"/>
                <w:sz w:val="20"/>
                <w:szCs w:val="20"/>
              </w:rPr>
              <w:t xml:space="preserve">4</w:t>
            </w:r>
          </w:p>
        </w:tc>
      </w:tr>
      <w:tr>
        <w:tc>
          <w:tcPr>
            <w:tcW w:type="dxa" w:w="3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w:t>
            </w:r>
          </w:p>
        </w:tc>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40 min</w:t>
            </w:r>
          </w:p>
        </w:tc>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40 min</w:t>
            </w:r>
          </w:p>
        </w:tc>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40 min</w:t>
            </w:r>
          </w:p>
        </w:tc>
      </w:tr>
    </w:tbl>
    <w:p>
      <w:pPr>
        <w:spacing w:after="40" w:before="40"/>
      </w:pPr>
      <w:r>
        <w:t xml:space="preserve"/>
      </w:r>
    </w:p>
    <w:p>
      <w:pPr>
        <w:pBdr>
          <w:left w:val="single" w:color="2E86C1" w:sz="6"/>
        </w:pBdr>
        <w:spacing w:after="80" w:before="80"/>
        <w:ind w:left="360"/>
      </w:pPr>
      <w:r>
        <w:rPr>
          <w:rFonts w:ascii="Arial" w:cs="Arial" w:eastAsia="Arial" w:hAnsi="Arial"/>
          <w:i/>
          <w:iCs/>
          <w:color w:val="555555"/>
          <w:sz w:val="20"/>
          <w:szCs w:val="20"/>
        </w:rPr>
        <w:t xml:space="preserve">NOTA: La sesión de 40 minutos incluye la preclase y la postclase. El tiempo de actividad deportiva es de 32 minutos.</w:t>
      </w:r>
    </w:p>
    <w:p>
      <w:pPr>
        <w:pStyle w:val="Heading3"/>
        <w:spacing w:after="100" w:before="200"/>
      </w:pPr>
      <w:r>
        <w:rPr>
          <w:rFonts w:ascii="Arial" w:cs="Arial" w:eastAsia="Arial" w:hAnsi="Arial"/>
          <w:b/>
          <w:bCs/>
          <w:color w:val="1A1A1A"/>
          <w:sz w:val="24"/>
          <w:szCs w:val="24"/>
        </w:rPr>
        <w:t xml:space="preserve">PRECLASE (4 min)</w:t>
      </w:r>
    </w:p>
    <w:p>
      <w:pPr>
        <w:spacing w:after="60" w:before="60"/>
        <w:jc w:val="left"/>
      </w:pPr>
      <w:r>
        <w:rPr>
          <w:rFonts w:ascii="Arial" w:cs="Arial" w:eastAsia="Arial" w:hAnsi="Arial"/>
          <w:b w:val="false"/>
          <w:bCs w:val="false"/>
          <w:i w:val="false"/>
          <w:iCs w:val="false"/>
          <w:color w:val="1A1A1A"/>
          <w:sz w:val="22"/>
          <w:szCs w:val="22"/>
        </w:rPr>
        <w:t xml:space="preserve">Abarca desde la recepción del usuario hasta el inicio del calentamiento. Dos objetivos: fortalecer el vínculo con el familiar y arrancar la experiencia Pegasus. Se divide en:</w:t>
      </w:r>
    </w:p>
    <w:p>
      <w:pPr>
        <w:pStyle w:val="ListParagraph"/>
        <w:numPr>
          <w:ilvl w:val="0"/>
          <w:numId w:val="2"/>
        </w:numPr>
        <w:spacing w:after="40" w:before="40"/>
      </w:pPr>
      <w:r>
        <w:rPr>
          <w:rFonts w:ascii="Arial" w:cs="Arial" w:eastAsia="Arial" w:hAnsi="Arial"/>
          <w:b/>
          <w:bCs/>
          <w:color w:val="1A1A1A"/>
          <w:sz w:val="22"/>
          <w:szCs w:val="22"/>
        </w:rPr>
        <w:t xml:space="preserve">primer contacto con usuario y familiar. Tres acciones: El Saludo (verbal + Saludo Pegasus: choque de puños con roce de dedos), La Pregunta ("¿Qué tal?", con especial atención al familiar) y La Explicación (introducción breve a la temática de la sesión, sin aspectos clínicos, dirigida al usuario a su altura).</w:t>
      </w:r>
      <w:r>
        <w:rPr>
          <w:rFonts w:ascii="Arial" w:cs="Arial" w:eastAsia="Arial" w:hAnsi="Arial"/>
          <w:color w:val="1A1A1A"/>
          <w:sz w:val="22"/>
          <w:szCs w:val="22"/>
        </w:rPr>
        <w:t xml:space="preserve">La conversación/recepción: </w:t>
      </w:r>
    </w:p>
    <w:p>
      <w:pPr>
        <w:pStyle w:val="ListParagraph"/>
        <w:numPr>
          <w:ilvl w:val="0"/>
          <w:numId w:val="2"/>
        </w:numPr>
        <w:spacing w:after="40" w:before="40"/>
      </w:pPr>
      <w:r>
        <w:rPr>
          <w:rFonts w:ascii="Arial" w:cs="Arial" w:eastAsia="Arial" w:hAnsi="Arial"/>
          <w:b/>
          <w:bCs/>
          <w:color w:val="1A1A1A"/>
          <w:sz w:val="22"/>
          <w:szCs w:val="22"/>
        </w:rPr>
        <w:t xml:space="preserve">preparación del espacio y posicionamiento en la zona de inicio.</w:t>
      </w:r>
      <w:r>
        <w:rPr>
          <w:rFonts w:ascii="Arial" w:cs="Arial" w:eastAsia="Arial" w:hAnsi="Arial"/>
          <w:color w:val="1A1A1A"/>
          <w:sz w:val="22"/>
          <w:szCs w:val="22"/>
        </w:rPr>
        <w:t xml:space="preserve">Preparación al calentamiento: </w:t>
      </w:r>
    </w:p>
    <w:p>
      <w:pPr>
        <w:spacing w:after="40" w:before="40"/>
      </w:pPr>
      <w:r>
        <w:t xml:space="preserve"/>
      </w:r>
    </w:p>
    <w:p>
      <w:pPr>
        <w:pBdr>
          <w:left w:val="single" w:color="2E86C1" w:sz="6"/>
        </w:pBdr>
        <w:spacing w:after="80" w:before="80"/>
        <w:ind w:left="360"/>
      </w:pPr>
      <w:r>
        <w:rPr>
          <w:rFonts w:ascii="Arial" w:cs="Arial" w:eastAsia="Arial" w:hAnsi="Arial"/>
          <w:i/>
          <w:iCs/>
          <w:color w:val="555555"/>
          <w:sz w:val="20"/>
          <w:szCs w:val="20"/>
        </w:rPr>
        <w:t xml:space="preserve">NOTA: Norma de comunicación crítica: nunca se mencionan diagnósticos ni limitaciones clínicas. El contenido siempre gira en torno al disfrute y el bienestar.</w:t>
      </w:r>
    </w:p>
    <w:p>
      <w:pPr>
        <w:pStyle w:val="Heading3"/>
        <w:spacing w:after="100" w:before="200"/>
      </w:pPr>
      <w:r>
        <w:rPr>
          <w:rFonts w:ascii="Arial" w:cs="Arial" w:eastAsia="Arial" w:hAnsi="Arial"/>
          <w:b/>
          <w:bCs/>
          <w:color w:val="1A1A1A"/>
          <w:sz w:val="24"/>
          <w:szCs w:val="24"/>
        </w:rPr>
        <w:t xml:space="preserve">CALENTAMIENTO (6 min)</w:t>
      </w:r>
    </w:p>
    <w:p>
      <w:pPr>
        <w:spacing w:after="60" w:before="60"/>
        <w:jc w:val="left"/>
      </w:pPr>
      <w:r>
        <w:rPr>
          <w:rFonts w:ascii="Arial" w:cs="Arial" w:eastAsia="Arial" w:hAnsi="Arial"/>
          <w:b w:val="false"/>
          <w:bCs w:val="false"/>
          <w:i w:val="false"/>
          <w:iCs w:val="false"/>
          <w:color w:val="1A1A1A"/>
          <w:sz w:val="22"/>
          <w:szCs w:val="22"/>
        </w:rPr>
        <w:t xml:space="preserve">Activación progresiva a nivel físico y cognitivo. Dos fases:</w:t>
      </w:r>
    </w:p>
    <w:p>
      <w:pPr>
        <w:pStyle w:val="ListParagraph"/>
        <w:numPr>
          <w:ilvl w:val="0"/>
          <w:numId w:val="2"/>
        </w:numPr>
        <w:spacing w:after="40" w:before="40"/>
      </w:pPr>
      <w:r>
        <w:rPr>
          <w:rFonts w:ascii="Arial" w:cs="Arial" w:eastAsia="Arial" w:hAnsi="Arial"/>
          <w:b/>
          <w:bCs/>
          <w:color w:val="1A1A1A"/>
          <w:sz w:val="22"/>
          <w:szCs w:val="22"/>
        </w:rPr>
        <w:t xml:space="preserve">El diálogo (conversación estructurada con el "micro Pegasus" para trabajar escucha activa, turno de palabra y paciencia) + El resumen (anticipación de las actividades de la sesión) + *Presentación Pegasus (cuando hay miembro nuevo en el grupo: nombre, edad, qué es lo que más te gusta del mundo mundial).</w:t>
      </w:r>
      <w:r>
        <w:rPr>
          <w:rFonts w:ascii="Arial" w:cs="Arial" w:eastAsia="Arial" w:hAnsi="Arial"/>
          <w:color w:val="1A1A1A"/>
          <w:sz w:val="22"/>
          <w:szCs w:val="22"/>
        </w:rPr>
        <w:t xml:space="preserve">Social: </w:t>
      </w:r>
    </w:p>
    <w:p>
      <w:pPr>
        <w:pStyle w:val="ListParagraph"/>
        <w:numPr>
          <w:ilvl w:val="0"/>
          <w:numId w:val="2"/>
        </w:numPr>
        <w:spacing w:after="40" w:before="40"/>
      </w:pPr>
      <w:r>
        <w:rPr>
          <w:rFonts w:ascii="Arial" w:cs="Arial" w:eastAsia="Arial" w:hAnsi="Arial"/>
          <w:b/>
          <w:bCs/>
          <w:color w:val="1A1A1A"/>
          <w:sz w:val="22"/>
          <w:szCs w:val="22"/>
        </w:rPr>
        <w:t xml:space="preserve">"¡Manos a la obra!" — juego de calentamiento con objetivo de activación aeróbica. No son ejercicios convencionales: son actividades que camuflan el movimiento a través de elementos lúdicos.</w:t>
      </w:r>
      <w:r>
        <w:rPr>
          <w:rFonts w:ascii="Arial" w:cs="Arial" w:eastAsia="Arial" w:hAnsi="Arial"/>
          <w:color w:val="1A1A1A"/>
          <w:sz w:val="22"/>
          <w:szCs w:val="22"/>
        </w:rPr>
        <w:t xml:space="preserve">Físico: </w:t>
      </w:r>
    </w:p>
    <w:p>
      <w:pPr>
        <w:pStyle w:val="Heading3"/>
        <w:spacing w:after="100" w:before="200"/>
      </w:pPr>
      <w:r>
        <w:rPr>
          <w:rFonts w:ascii="Arial" w:cs="Arial" w:eastAsia="Arial" w:hAnsi="Arial"/>
          <w:b/>
          <w:bCs/>
          <w:color w:val="1A1A1A"/>
          <w:sz w:val="24"/>
          <w:szCs w:val="24"/>
        </w:rPr>
        <w:t xml:space="preserve">PARTE PRINCIPAL (20/15/10+10 min)</w:t>
      </w:r>
    </w:p>
    <w:p>
      <w:pPr>
        <w:spacing w:after="60" w:before="60"/>
        <w:jc w:val="left"/>
      </w:pPr>
      <w:r>
        <w:rPr>
          <w:rFonts w:ascii="Arial" w:cs="Arial" w:eastAsia="Arial" w:hAnsi="Arial"/>
          <w:b w:val="false"/>
          <w:bCs w:val="false"/>
          <w:i w:val="false"/>
          <w:iCs w:val="false"/>
          <w:color w:val="1A1A1A"/>
          <w:sz w:val="22"/>
          <w:szCs w:val="22"/>
        </w:rPr>
        <w:t xml:space="preserve">Tres tipos de parte principal, que se alternan según la programación mensual:</w:t>
      </w:r>
    </w:p>
    <w:p>
      <w:pPr>
        <w:pStyle w:val="ListParagraph"/>
        <w:numPr>
          <w:ilvl w:val="0"/>
          <w:numId w:val="2"/>
        </w:numPr>
        <w:spacing w:after="40" w:before="40"/>
      </w:pPr>
      <w:r>
        <w:rPr>
          <w:rFonts w:ascii="Arial" w:cs="Arial" w:eastAsia="Arial" w:hAnsi="Arial"/>
          <w:b/>
          <w:bCs/>
          <w:color w:val="1A1A1A"/>
          <w:sz w:val="22"/>
          <w:szCs w:val="22"/>
        </w:rPr>
        <w:t xml:space="preserve">el usuario recoge y lleva elementos desde un punto A hasta un punto B, camuflado a través de una historia o hilo conductor. Zonas: A (zona segura/colchoneta — aquí ocurre el objetivo del juego), Zona de Desplazamientos (donde se trabajan las progresiones terapéuticas) y Zona B (elementos del juego). Variante Gincana: estructura en postas con diferentes pruebas, retos o juegos. Los contenidos de TPT se clasifican en manipulativos (estiramientos, masoterapia, regulación, AVD, orofacial) y no manipulativos (funciones cognitivas, gestión emocional, habilidades motrices básicas).</w:t>
      </w:r>
      <w:r>
        <w:rPr>
          <w:rFonts w:ascii="Arial" w:cs="Arial" w:eastAsia="Arial" w:hAnsi="Arial"/>
          <w:color w:val="1A1A1A"/>
          <w:sz w:val="22"/>
          <w:szCs w:val="22"/>
        </w:rPr>
        <w:t xml:space="preserve">Gamificada (A-B): </w:t>
      </w:r>
    </w:p>
    <w:p>
      <w:pPr>
        <w:pStyle w:val="ListParagraph"/>
        <w:numPr>
          <w:ilvl w:val="0"/>
          <w:numId w:val="2"/>
        </w:numPr>
        <w:spacing w:after="40" w:before="40"/>
      </w:pPr>
      <w:r>
        <w:rPr>
          <w:rFonts w:ascii="Arial" w:cs="Arial" w:eastAsia="Arial" w:hAnsi="Arial"/>
          <w:b/>
          <w:bCs/>
          <w:color w:val="1A1A1A"/>
          <w:sz w:val="22"/>
          <w:szCs w:val="22"/>
        </w:rPr>
        <w:t xml:space="preserve">potencia los objetivos terapéuticos específicos de cada especialidad. Cada profesional estructura los contenidos derivados de su terapia. Para contenidos manipulativos se combina con parte gamificada (sesión mixta).</w:t>
      </w:r>
      <w:r>
        <w:rPr>
          <w:rFonts w:ascii="Arial" w:cs="Arial" w:eastAsia="Arial" w:hAnsi="Arial"/>
          <w:color w:val="1A1A1A"/>
          <w:sz w:val="22"/>
          <w:szCs w:val="22"/>
        </w:rPr>
        <w:t xml:space="preserve">Técnica: </w:t>
      </w:r>
    </w:p>
    <w:p>
      <w:pPr>
        <w:pStyle w:val="ListParagraph"/>
        <w:numPr>
          <w:ilvl w:val="0"/>
          <w:numId w:val="2"/>
        </w:numPr>
        <w:spacing w:after="40" w:before="40"/>
      </w:pPr>
      <w:r>
        <w:rPr>
          <w:rFonts w:ascii="Arial" w:cs="Arial" w:eastAsia="Arial" w:hAnsi="Arial"/>
          <w:b/>
          <w:bCs/>
          <w:color w:val="1A1A1A"/>
          <w:sz w:val="22"/>
          <w:szCs w:val="22"/>
        </w:rPr>
        <w:t xml:space="preserve">combina un bloque gamificado con un bloque técnico. Permite trabajar con mayor frecuencia los objetivos terapéuticos sin perder la estructura lúdica.</w:t>
      </w:r>
      <w:r>
        <w:rPr>
          <w:rFonts w:ascii="Arial" w:cs="Arial" w:eastAsia="Arial" w:hAnsi="Arial"/>
          <w:color w:val="1A1A1A"/>
          <w:sz w:val="22"/>
          <w:szCs w:val="22"/>
        </w:rPr>
        <w:t xml:space="preserve">Mixta: </w:t>
      </w:r>
    </w:p>
    <w:p>
      <w:pPr>
        <w:pStyle w:val="Heading3"/>
        <w:spacing w:after="100" w:before="200"/>
      </w:pPr>
      <w:r>
        <w:rPr>
          <w:rFonts w:ascii="Arial" w:cs="Arial" w:eastAsia="Arial" w:hAnsi="Arial"/>
          <w:b/>
          <w:bCs/>
          <w:color w:val="1A1A1A"/>
          <w:sz w:val="24"/>
          <w:szCs w:val="24"/>
        </w:rPr>
        <w:t xml:space="preserve">PARTE FINAL — Juego Final (6/11/6 min)</w:t>
      </w:r>
    </w:p>
    <w:p>
      <w:pPr>
        <w:spacing w:after="60" w:before="60"/>
        <w:jc w:val="left"/>
      </w:pPr>
      <w:r>
        <w:rPr>
          <w:rFonts w:ascii="Arial" w:cs="Arial" w:eastAsia="Arial" w:hAnsi="Arial"/>
          <w:b w:val="false"/>
          <w:bCs w:val="false"/>
          <w:i w:val="false"/>
          <w:iCs w:val="false"/>
          <w:color w:val="1A1A1A"/>
          <w:sz w:val="22"/>
          <w:szCs w:val="22"/>
        </w:rPr>
        <w:t xml:space="preserve">El momento más loco y espectacular de la sesión. Objetivo único: el DISFRUTE. Se puede presentar como recompensa eligiendo el propio usuario entre opciones. Dos categorías:</w:t>
      </w:r>
    </w:p>
    <w:p>
      <w:pPr>
        <w:pStyle w:val="ListParagraph"/>
        <w:numPr>
          <w:ilvl w:val="0"/>
          <w:numId w:val="2"/>
        </w:numPr>
        <w:spacing w:after="40" w:before="40"/>
      </w:pPr>
      <w:r>
        <w:rPr>
          <w:rFonts w:ascii="Arial" w:cs="Arial" w:eastAsia="Arial" w:hAnsi="Arial"/>
          <w:b/>
          <w:bCs/>
          <w:color w:val="1A1A1A"/>
          <w:sz w:val="22"/>
          <w:szCs w:val="22"/>
        </w:rPr>
        <w:t xml:space="preserve">estáticos (juegos de mesa, digitales con tablet) o dinámicos (juegos clásicos, deportivos, espectaculares).</w:t>
      </w:r>
      <w:r>
        <w:rPr>
          <w:rFonts w:ascii="Arial" w:cs="Arial" w:eastAsia="Arial" w:hAnsi="Arial"/>
          <w:color w:val="1A1A1A"/>
          <w:sz w:val="22"/>
          <w:szCs w:val="22"/>
        </w:rPr>
        <w:t xml:space="preserve">Juegos Reglados: </w:t>
      </w:r>
    </w:p>
    <w:p>
      <w:pPr>
        <w:pStyle w:val="ListParagraph"/>
        <w:numPr>
          <w:ilvl w:val="0"/>
          <w:numId w:val="2"/>
        </w:numPr>
        <w:spacing w:after="40" w:before="40"/>
      </w:pPr>
      <w:r>
        <w:rPr>
          <w:rFonts w:ascii="Arial" w:cs="Arial" w:eastAsia="Arial" w:hAnsi="Arial"/>
          <w:b/>
          <w:bCs/>
          <w:color w:val="1A1A1A"/>
          <w:sz w:val="22"/>
          <w:szCs w:val="22"/>
        </w:rPr>
        <w:t xml:space="preserve">todo tipo de movimiento de gran impacto: saltos, volteretas, actividad libre de alta energía.</w:t>
      </w:r>
      <w:r>
        <w:rPr>
          <w:rFonts w:ascii="Arial" w:cs="Arial" w:eastAsia="Arial" w:hAnsi="Arial"/>
          <w:color w:val="1A1A1A"/>
          <w:sz w:val="22"/>
          <w:szCs w:val="22"/>
        </w:rPr>
        <w:t xml:space="preserve">Giros y Saltos: </w:t>
      </w:r>
    </w:p>
    <w:p>
      <w:pPr>
        <w:pStyle w:val="Heading3"/>
        <w:spacing w:after="100" w:before="200"/>
      </w:pPr>
      <w:r>
        <w:rPr>
          <w:rFonts w:ascii="Arial" w:cs="Arial" w:eastAsia="Arial" w:hAnsi="Arial"/>
          <w:b/>
          <w:bCs/>
          <w:color w:val="1A1A1A"/>
          <w:sz w:val="24"/>
          <w:szCs w:val="24"/>
        </w:rPr>
        <w:t xml:space="preserve">POSTCLASE (4 min)</w:t>
      </w:r>
    </w:p>
    <w:p>
      <w:pPr>
        <w:spacing w:after="60" w:before="60"/>
        <w:jc w:val="left"/>
      </w:pPr>
      <w:r>
        <w:rPr>
          <w:rFonts w:ascii="Arial" w:cs="Arial" w:eastAsia="Arial" w:hAnsi="Arial"/>
          <w:b w:val="false"/>
          <w:bCs w:val="false"/>
          <w:i w:val="false"/>
          <w:iCs w:val="false"/>
          <w:color w:val="1A1A1A"/>
          <w:sz w:val="22"/>
          <w:szCs w:val="22"/>
        </w:rPr>
        <w:t xml:space="preserve">Cierre de sesión y segundo contacto con las familias. Devolver al usuario a la familia con un resumen breve de los mejores momentos de la sesión. Momento de mandar "deberes" si fuera necesario. Cierre con el eslogan: "Lo mío no es normal... ¡pero lo tuyo TAMPOCO!"</w:t>
      </w:r>
    </w:p>
    <w:p>
      <w:pPr>
        <w:pStyle w:val="Heading2"/>
        <w:spacing w:after="140" w:before="280"/>
      </w:pPr>
      <w:r>
        <w:rPr>
          <w:rFonts w:ascii="Arial" w:cs="Arial" w:eastAsia="Arial" w:hAnsi="Arial"/>
          <w:b/>
          <w:bCs/>
          <w:color w:val="2E86C1"/>
          <w:sz w:val="28"/>
          <w:szCs w:val="28"/>
        </w:rPr>
        <w:t xml:space="preserve">Programación mensual</w:t>
      </w:r>
    </w:p>
    <w:p>
      <w:pPr>
        <w:spacing w:after="60" w:before="60"/>
        <w:jc w:val="left"/>
      </w:pPr>
      <w:r>
        <w:rPr>
          <w:rFonts w:ascii="Arial" w:cs="Arial" w:eastAsia="Arial" w:hAnsi="Arial"/>
          <w:b w:val="false"/>
          <w:bCs w:val="false"/>
          <w:i w:val="false"/>
          <w:iCs w:val="false"/>
          <w:color w:val="1A1A1A"/>
          <w:sz w:val="22"/>
          <w:szCs w:val="22"/>
        </w:rPr>
        <w:t xml:space="preserve">La estructura mensual se diseña atendiendo al tipo de objetivos a trabajar. Los contenidos de todas las terapias (excepto Psicología) se clasifican en Manipulativos y No Manipulativos, lo que determina el tipo de parte principal más adecuado: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objetivos</w:t>
            </w:r>
          </w:p>
        </w:tc>
        <w:tc>
          <w:tcPr>
            <w:tcW w:type="dxa" w:w="164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Sesión 1</w:t>
            </w:r>
          </w:p>
        </w:tc>
        <w:tc>
          <w:tcPr>
            <w:tcW w:type="dxa" w:w="164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Sesión 2</w:t>
            </w:r>
          </w:p>
        </w:tc>
        <w:tc>
          <w:tcPr>
            <w:tcW w:type="dxa" w:w="164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Sesión 3</w:t>
            </w:r>
          </w:p>
        </w:tc>
        <w:tc>
          <w:tcPr>
            <w:tcW w:type="dxa" w:w="164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Sesión 4</w:t>
            </w:r>
          </w:p>
        </w:tc>
      </w:tr>
      <w:tr>
        <w:tc>
          <w:tcPr>
            <w:tcW w:type="dxa" w:w="2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manipulativos</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A-B</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A-B</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TÉC</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GYN</w:t>
            </w:r>
          </w:p>
        </w:tc>
      </w:tr>
      <w:tr>
        <w:tc>
          <w:tcPr>
            <w:tcW w:type="dxa" w:w="2800"/>
            <w:tcBorders>
              <w:top w:val="single" w:color="DDDDDD" w:sz="1"/>
              <w:left w:val="single" w:color="DDDDDD" w:sz="1"/>
              <w:bottom w:val="single" w:color="DDDDDD" w:sz="1"/>
              <w:right w:val="single" w:color="DDDDDD" w:sz="1"/>
            </w:tcBorders>
            <w:shd w:fill="EAD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Manipulativos</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TÉC+AB</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TÉC+AB</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TÉC</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TÉC+GYN</w:t>
            </w:r>
          </w:p>
        </w:tc>
      </w:tr>
    </w:tbl>
    <w:p>
      <w:pPr>
        <w:spacing w:after="40" w:before="40"/>
      </w:pPr>
      <w:r>
        <w:t xml:space="preserve"/>
      </w:r>
    </w:p>
    <w:p>
      <w:pPr>
        <w:pBdr>
          <w:left w:val="single" w:color="2E86C1" w:sz="6"/>
        </w:pBdr>
        <w:spacing w:after="80" w:before="80"/>
        <w:ind w:left="360"/>
      </w:pPr>
      <w:r>
        <w:rPr>
          <w:rFonts w:ascii="Arial" w:cs="Arial" w:eastAsia="Arial" w:hAnsi="Arial"/>
          <w:i/>
          <w:iCs/>
          <w:color w:val="555555"/>
          <w:sz w:val="20"/>
          <w:szCs w:val="20"/>
        </w:rPr>
        <w:t xml:space="preserve">NOTA: Si un usuario viene 2 o 3 veces por semana a la misma terapia, cada sesión debe respetar el tipo que corresponda según la programación mensual. No se repite el mismo tipo de sesión consecutivamente.</w:t>
      </w:r>
    </w:p>
    <w:p>
      <w:r>
        <w:br w:type="page"/>
      </w:r>
    </w:p>
    <w:p>
      <w:pPr>
        <w:pStyle w:val="Heading1"/>
        <w:pBdr>
          <w:bottom w:val="single" w:color="7B2FBE" w:sz="4"/>
        </w:pBdr>
        <w:spacing w:after="200" w:before="400"/>
      </w:pPr>
      <w:r>
        <w:rPr>
          <w:rFonts w:ascii="Arial" w:cs="Arial" w:eastAsia="Arial" w:hAnsi="Arial"/>
          <w:b/>
          <w:bCs/>
          <w:color w:val="7B2FBE"/>
          <w:sz w:val="36"/>
          <w:szCs w:val="36"/>
        </w:rPr>
        <w:t xml:space="preserve">6. INCLUSIVE SPORT (IS)</w:t>
      </w:r>
    </w:p>
    <w:p>
      <w:pPr>
        <w:pStyle w:val="Heading2"/>
        <w:spacing w:after="140" w:before="280"/>
      </w:pPr>
      <w:r>
        <w:rPr>
          <w:rFonts w:ascii="Arial" w:cs="Arial" w:eastAsia="Arial" w:hAnsi="Arial"/>
          <w:b/>
          <w:bCs/>
          <w:color w:val="2E86C1"/>
          <w:sz w:val="28"/>
          <w:szCs w:val="28"/>
        </w:rPr>
        <w:t xml:space="preserve">6.1 Origen y razón de ser</w:t>
      </w:r>
    </w:p>
    <w:p>
      <w:pPr>
        <w:spacing w:after="60" w:before="60"/>
        <w:jc w:val="left"/>
      </w:pPr>
      <w:r>
        <w:rPr>
          <w:rFonts w:ascii="Arial" w:cs="Arial" w:eastAsia="Arial" w:hAnsi="Arial"/>
          <w:b w:val="false"/>
          <w:bCs w:val="false"/>
          <w:i w:val="false"/>
          <w:iCs w:val="false"/>
          <w:color w:val="1A1A1A"/>
          <w:sz w:val="22"/>
          <w:szCs w:val="22"/>
        </w:rPr>
        <w:t xml:space="preserve">Inclusive Sport nació con la intención de crear un club de natación de competición. David, campeón de España de natación, quería construir algo desde el deporte. Pero al entrar en contacto directo con personas con discapacidad, tuvo un descubrimiento que lo cambió todo.</w:t>
      </w:r>
    </w:p>
    <w:p>
      <w:pPr>
        <w:spacing w:after="40" w:before="40"/>
      </w:pPr>
      <w:r>
        <w:t xml:space="preserve"/>
      </w:r>
    </w:p>
    <w:p>
      <w:pPr>
        <w:spacing w:after="120" w:before="120"/>
        <w:ind w:left="720"/>
      </w:pPr>
      <w:r>
        <w:rPr>
          <w:rFonts w:ascii="Arial" w:cs="Arial" w:eastAsia="Arial" w:hAnsi="Arial"/>
          <w:b/>
          <w:bCs/>
          <w:i/>
          <w:iCs/>
          <w:color w:val="7B2FBE"/>
          <w:sz w:val="22"/>
          <w:szCs w:val="22"/>
        </w:rPr>
        <w:t xml:space="preserve">"Cuando empecé con Inclusive Sports, lo que más me llamó la atención no fue ver a personas sin brazos o sin piernas que nadaban super rápido, sino que cuando salían del agua sonreían. ¿Por qué yo no, que en teoría tengo menos limitaciones?"</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Con este aprendizaje, Inclusive Sport cambia de enfoque radicalmente: ya no es un club de natación. Es un espacio donde las personas con discapacidad pueden socializar, pasárselo bien y disfrutar del deporte sin presión de rendimiento ni competición.</w:t>
      </w:r>
    </w:p>
    <w:p>
      <w:pPr>
        <w:pStyle w:val="Heading2"/>
        <w:spacing w:after="140" w:before="280"/>
      </w:pPr>
      <w:r>
        <w:rPr>
          <w:rFonts w:ascii="Arial" w:cs="Arial" w:eastAsia="Arial" w:hAnsi="Arial"/>
          <w:b/>
          <w:bCs/>
          <w:color w:val="2E86C1"/>
          <w:sz w:val="28"/>
          <w:szCs w:val="28"/>
        </w:rPr>
        <w:t xml:space="preserve">6.2 Propuesta de valor diferencial</w:t>
      </w:r>
    </w:p>
    <w:p>
      <w:pPr>
        <w:pStyle w:val="Heading3"/>
        <w:spacing w:after="100" w:before="200"/>
      </w:pPr>
      <w:r>
        <w:rPr>
          <w:rFonts w:ascii="Arial" w:cs="Arial" w:eastAsia="Arial" w:hAnsi="Arial"/>
          <w:b/>
          <w:bCs/>
          <w:color w:val="1A1A1A"/>
          <w:sz w:val="24"/>
          <w:szCs w:val="24"/>
        </w:rPr>
        <w:t xml:space="preserve">Diferencial 1: El enfoque (juego, no competición)</w:t>
      </w:r>
    </w:p>
    <w:p>
      <w:pPr>
        <w:spacing w:after="60" w:before="60"/>
        <w:jc w:val="left"/>
      </w:pPr>
      <w:r>
        <w:rPr>
          <w:rFonts w:ascii="Arial" w:cs="Arial" w:eastAsia="Arial" w:hAnsi="Arial"/>
          <w:b w:val="false"/>
          <w:bCs w:val="false"/>
          <w:i w:val="false"/>
          <w:iCs w:val="false"/>
          <w:color w:val="1A1A1A"/>
          <w:sz w:val="22"/>
          <w:szCs w:val="22"/>
        </w:rPr>
        <w:t xml:space="preserve">IS elimina la presión del rendimiento deportivo. El objetivo no es aprender a nadar ni mejorar una marca. El objetivo es que los participantes disfruten, socialicen y crezcan como personas. Las actividades se diseñan como juegos que tienen valor en sí mismos.</w:t>
      </w:r>
    </w:p>
    <w:p>
      <w:pPr>
        <w:pStyle w:val="Heading3"/>
        <w:spacing w:after="100" w:before="200"/>
      </w:pPr>
      <w:r>
        <w:rPr>
          <w:rFonts w:ascii="Arial" w:cs="Arial" w:eastAsia="Arial" w:hAnsi="Arial"/>
          <w:b/>
          <w:bCs/>
          <w:color w:val="1A1A1A"/>
          <w:sz w:val="24"/>
          <w:szCs w:val="24"/>
        </w:rPr>
        <w:t xml:space="preserve">Diferencial 2: Atención personalizada y flexible</w:t>
      </w:r>
    </w:p>
    <w:p>
      <w:pPr>
        <w:spacing w:after="60" w:before="60"/>
        <w:jc w:val="left"/>
      </w:pPr>
      <w:r>
        <w:rPr>
          <w:rFonts w:ascii="Arial" w:cs="Arial" w:eastAsia="Arial" w:hAnsi="Arial"/>
          <w:b w:val="false"/>
          <w:bCs w:val="false"/>
          <w:i w:val="false"/>
          <w:iCs w:val="false"/>
          <w:color w:val="1A1A1A"/>
          <w:sz w:val="22"/>
          <w:szCs w:val="22"/>
        </w:rPr>
        <w:t xml:space="preserve">IS trabaja con ratios 1:1 cuando la persona lo necesita, o en grupos pequeños cuando la dinámica social lo permite. Esta flexibilidad en el ratio es un diferencial importante frente a los programas municipales convencionales.</w:t>
      </w:r>
    </w:p>
    <w:p>
      <w:pPr>
        <w:pStyle w:val="Heading2"/>
        <w:spacing w:after="140" w:before="280"/>
      </w:pPr>
      <w:r>
        <w:rPr>
          <w:rFonts w:ascii="Arial" w:cs="Arial" w:eastAsia="Arial" w:hAnsi="Arial"/>
          <w:b/>
          <w:bCs/>
          <w:color w:val="2E86C1"/>
          <w:sz w:val="28"/>
          <w:szCs w:val="28"/>
        </w:rPr>
        <w:t xml:space="preserve">6.3 Modalidades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Modalidad</w:t>
            </w:r>
          </w:p>
        </w:tc>
        <w:tc>
          <w:tcPr>
            <w:tcW w:type="dxa" w:w="18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Público</w:t>
            </w:r>
          </w:p>
        </w:tc>
        <w:tc>
          <w:tcPr>
            <w:tcW w:type="dxa" w:w="53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PiscinaSUS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Peques y adultos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Natación adaptada en medio acuático. El deporte rey de IS. Fomenta autonomía, coordinación y autoestima.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Fútbol Inclusivo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Peques y adultos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Fútbol adaptado sin competición, centrado en habilidades sociales y juego.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Multideporte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Peques y adultos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Varios deportes en formato lúdico, adaptados a las necesidades de cada participante.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GimnaSUS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Adultos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Acondicionamiento físico, equilibrio y fuerza. En Sportrade (Cuatro Caminos) y Arganda del Rey.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Pilates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Adultos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Mejora de dolores de espalda, flexibilidad y reducción de estrés. En Arganda del Rey.</w:t>
            </w:r>
          </w:p>
        </w:tc>
      </w:tr>
    </w:tbl>
    <w:p>
      <w:pPr>
        <w:pStyle w:val="Heading2"/>
        <w:spacing w:after="140" w:before="280"/>
      </w:pPr>
      <w:r>
        <w:rPr>
          <w:rFonts w:ascii="Arial" w:cs="Arial" w:eastAsia="Arial" w:hAnsi="Arial"/>
          <w:b/>
          <w:bCs/>
          <w:color w:val="2E86C1"/>
          <w:sz w:val="28"/>
          <w:szCs w:val="28"/>
        </w:rPr>
        <w:t xml:space="preserve">6.4 Modelo económico de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2440"/>
        <w:gridCol w:w="2440"/>
      </w:tblGrid>
      <w:tr>
        <w:tc>
          <w:tcPr>
            <w:tcW w:type="dxa" w:w="448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Modalidad</w:t>
            </w:r>
          </w:p>
        </w:tc>
        <w:tc>
          <w:tcPr>
            <w:tcW w:type="dxa" w:w="244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Precio actual/mes</w:t>
            </w:r>
          </w:p>
        </w:tc>
        <w:tc>
          <w:tcPr>
            <w:tcW w:type="dxa" w:w="244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Precio futuro previsto</w:t>
            </w:r>
          </w:p>
        </w:tc>
      </w:tr>
      <w:tr>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Individual 1 día/semana</w:t>
            </w:r>
          </w:p>
        </w:tc>
        <w:tc>
          <w:tcPr>
            <w:tcW w:type="dxa" w:w="2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44,95 €</w:t>
            </w:r>
          </w:p>
        </w:tc>
        <w:tc>
          <w:tcPr>
            <w:tcW w:type="dxa" w:w="2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51,95 €</w:t>
            </w:r>
          </w:p>
        </w:tc>
      </w:tr>
      <w:tr>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Individual 2 días/semana</w:t>
            </w:r>
          </w:p>
        </w:tc>
        <w:tc>
          <w:tcPr>
            <w:tcW w:type="dxa" w:w="2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89,95 €</w:t>
            </w:r>
          </w:p>
        </w:tc>
        <w:tc>
          <w:tcPr>
            <w:tcW w:type="dxa" w:w="2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99,95 €</w:t>
            </w:r>
          </w:p>
        </w:tc>
      </w:tr>
      <w:tr>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Pareja/grupo 1 día/semana</w:t>
            </w:r>
          </w:p>
        </w:tc>
        <w:tc>
          <w:tcPr>
            <w:tcW w:type="dxa" w:w="2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39,95 €</w:t>
            </w:r>
          </w:p>
        </w:tc>
        <w:tc>
          <w:tcPr>
            <w:tcW w:type="dxa" w:w="2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44,95 €</w:t>
            </w:r>
          </w:p>
        </w:tc>
      </w:tr>
      <w:tr>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Pareja/grupo 2 días/semana</w:t>
            </w:r>
          </w:p>
        </w:tc>
        <w:tc>
          <w:tcPr>
            <w:tcW w:type="dxa" w:w="2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64,95 €</w:t>
            </w:r>
          </w:p>
        </w:tc>
        <w:tc>
          <w:tcPr>
            <w:tcW w:type="dxa" w:w="2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74,95 €</w:t>
            </w:r>
          </w:p>
        </w:tc>
      </w:tr>
    </w:tbl>
    <w:p>
      <w:pPr>
        <w:spacing w:after="40" w:before="40"/>
      </w:pPr>
      <w:r>
        <w:t xml:space="preserve"/>
      </w:r>
    </w:p>
    <w:p>
      <w:pPr>
        <w:pBdr>
          <w:left w:val="single" w:color="2E86C1" w:sz="6"/>
        </w:pBdr>
        <w:spacing w:after="80" w:before="80"/>
        <w:ind w:left="360"/>
      </w:pPr>
      <w:r>
        <w:rPr>
          <w:rFonts w:ascii="Arial" w:cs="Arial" w:eastAsia="Arial" w:hAnsi="Arial"/>
          <w:i/>
          <w:iCs/>
          <w:color w:val="555555"/>
          <w:sz w:val="20"/>
          <w:szCs w:val="20"/>
        </w:rPr>
        <w:t xml:space="preserve">NOTA: Hay un análisis de subida de precios del 11-15% ya trabajado internamente, pendiente de implementación.</w:t>
      </w:r>
    </w:p>
    <w:p>
      <w:pPr>
        <w:pStyle w:val="Heading2"/>
        <w:spacing w:after="140" w:before="280"/>
      </w:pPr>
      <w:r>
        <w:rPr>
          <w:rFonts w:ascii="Arial" w:cs="Arial" w:eastAsia="Arial" w:hAnsi="Arial"/>
          <w:b/>
          <w:bCs/>
          <w:color w:val="2E86C1"/>
          <w:sz w:val="28"/>
          <w:szCs w:val="28"/>
        </w:rPr>
        <w:t xml:space="preserve">6.5 Modelo de costes salariales en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800"/>
        <w:gridCol w:w="1960"/>
      </w:tblGrid>
      <w:tr>
        <w:tc>
          <w:tcPr>
            <w:tcW w:type="dxa" w:w="26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Perfil</w:t>
            </w:r>
          </w:p>
        </w:tc>
        <w:tc>
          <w:tcPr>
            <w:tcW w:type="dxa" w:w="14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Jornada</w:t>
            </w:r>
          </w:p>
        </w:tc>
        <w:tc>
          <w:tcPr>
            <w:tcW w:type="dxa" w:w="16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Bruto/mes</w:t>
            </w:r>
          </w:p>
        </w:tc>
        <w:tc>
          <w:tcPr>
            <w:tcW w:type="dxa" w:w="18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Coste empresa/mes</w:t>
            </w:r>
          </w:p>
        </w:tc>
        <w:tc>
          <w:tcPr>
            <w:tcW w:type="dxa" w:w="19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Coste hora empresa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Monitor estándar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30h/sem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1.320,00 €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1.742,40 €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15,91 €</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Monitor "sabadero"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5h/sem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220,00 €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290,40 €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15,91 €</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Monitor jornada completa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40h/sem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1.760,00 €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2.323,20 €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15,91 €</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Coordinador IS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40h/sem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1.800,00 €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2.376,00 €</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16,27 €</w:t>
            </w:r>
          </w:p>
        </w:tc>
      </w:tr>
    </w:tbl>
    <w:p>
      <w:pPr>
        <w:pStyle w:val="Heading2"/>
        <w:spacing w:after="140" w:before="280"/>
      </w:pPr>
      <w:r>
        <w:rPr>
          <w:rFonts w:ascii="Arial" w:cs="Arial" w:eastAsia="Arial" w:hAnsi="Arial"/>
          <w:b/>
          <w:bCs/>
          <w:color w:val="2E86C1"/>
          <w:sz w:val="28"/>
          <w:szCs w:val="28"/>
        </w:rPr>
        <w:t xml:space="preserve">6.6 Punto de break-even de IS</w:t>
      </w:r>
    </w:p>
    <w:p>
      <w:pPr>
        <w:spacing w:after="60" w:before="60"/>
        <w:jc w:val="left"/>
      </w:pPr>
      <w:r>
        <w:rPr>
          <w:rFonts w:ascii="Arial" w:cs="Arial" w:eastAsia="Arial" w:hAnsi="Arial"/>
          <w:b w:val="false"/>
          <w:bCs w:val="false"/>
          <w:i w:val="false"/>
          <w:iCs w:val="false"/>
          <w:color w:val="1A1A1A"/>
          <w:sz w:val="22"/>
          <w:szCs w:val="22"/>
        </w:rPr>
        <w:t xml:space="preserve">Con 48 plazas disponibles como capacidad máxima, el coste mensual del monitor es 1.627€. El break-even por profesional se sitúa en torno a 23-25 plazas ocupadas (50% de ocupación). Con ocupación completa, el beneficio mensual por profesional es de aproximadamente 866€. IS se situó en break-even en 2025 (194.228€ de ingresos).</w:t>
      </w:r>
    </w:p>
    <w:p>
      <w:pPr>
        <w:pStyle w:val="Heading2"/>
        <w:spacing w:after="140" w:before="280"/>
      </w:pPr>
      <w:r>
        <w:rPr>
          <w:rFonts w:ascii="Arial" w:cs="Arial" w:eastAsia="Arial" w:hAnsi="Arial"/>
          <w:b/>
          <w:bCs/>
          <w:color w:val="2E86C1"/>
          <w:sz w:val="28"/>
          <w:szCs w:val="28"/>
        </w:rPr>
        <w:t xml:space="preserve">6.7 Retos operativos de IS</w:t>
      </w:r>
    </w:p>
    <w:p>
      <w:pPr>
        <w:pStyle w:val="ListParagraph"/>
        <w:numPr>
          <w:ilvl w:val="0"/>
          <w:numId w:val="2"/>
        </w:numPr>
        <w:spacing w:after="40" w:before="40"/>
      </w:pPr>
      <w:r>
        <w:rPr>
          <w:rFonts w:ascii="Arial" w:cs="Arial" w:eastAsia="Arial" w:hAnsi="Arial"/>
          <w:color w:val="1A1A1A"/>
          <w:sz w:val="22"/>
          <w:szCs w:val="22"/>
        </w:rPr>
        <w:t xml:space="preserve">Dependencia de instalaciones municipales con horarios y disponibilidades limitadas y cambiantes.</w:t>
      </w:r>
    </w:p>
    <w:p>
      <w:pPr>
        <w:pStyle w:val="ListParagraph"/>
        <w:numPr>
          <w:ilvl w:val="0"/>
          <w:numId w:val="2"/>
        </w:numPr>
        <w:spacing w:after="40" w:before="40"/>
      </w:pPr>
      <w:r>
        <w:rPr>
          <w:rFonts w:ascii="Arial" w:cs="Arial" w:eastAsia="Arial" w:hAnsi="Arial"/>
          <w:color w:val="1A1A1A"/>
          <w:sz w:val="22"/>
          <w:szCs w:val="22"/>
        </w:rPr>
        <w:t xml:space="preserve">Alta dispersión geográfica que complica la coordinación.</w:t>
      </w:r>
    </w:p>
    <w:p>
      <w:pPr>
        <w:pStyle w:val="ListParagraph"/>
        <w:numPr>
          <w:ilvl w:val="0"/>
          <w:numId w:val="2"/>
        </w:numPr>
        <w:spacing w:after="40" w:before="40"/>
      </w:pPr>
      <w:r>
        <w:rPr>
          <w:rFonts w:ascii="Arial" w:cs="Arial" w:eastAsia="Arial" w:hAnsi="Arial"/>
          <w:color w:val="1A1A1A"/>
          <w:sz w:val="22"/>
          <w:szCs w:val="22"/>
        </w:rPr>
        <w:t xml:space="preserve">Jornadas variables y parciales de los monitores.</w:t>
      </w:r>
    </w:p>
    <w:p>
      <w:pPr>
        <w:pStyle w:val="ListParagraph"/>
        <w:numPr>
          <w:ilvl w:val="0"/>
          <w:numId w:val="2"/>
        </w:numPr>
        <w:spacing w:after="40" w:before="40"/>
      </w:pPr>
      <w:r>
        <w:rPr>
          <w:rFonts w:ascii="Arial" w:cs="Arial" w:eastAsia="Arial" w:hAnsi="Arial"/>
          <w:color w:val="1A1A1A"/>
          <w:sz w:val="22"/>
          <w:szCs w:val="22"/>
        </w:rPr>
        <w:t xml:space="preserve">Menor margen que TPT, con menos espacio para absorber imprevistos.</w:t>
      </w:r>
    </w:p>
    <w:p>
      <w:pPr>
        <w:spacing w:after="60" w:before="60"/>
        <w:jc w:val="left"/>
      </w:pPr>
      <w:r>
        <w:rPr>
          <w:rFonts w:ascii="Arial" w:cs="Arial" w:eastAsia="Arial" w:hAnsi="Arial"/>
          <w:b w:val="false"/>
          <w:bCs w:val="false"/>
          <w:i w:val="false"/>
          <w:iCs w:val="false"/>
          <w:color w:val="1A1A1A"/>
          <w:sz w:val="22"/>
          <w:szCs w:val="22"/>
        </w:rPr>
        <w:t xml:space="preserve">La fusión prevista de los coordinadores de TPT e IS para septiembre de 2026 es la principal palanca de mejora operativa identificada.</w:t>
      </w:r>
    </w:p>
    <w:p>
      <w:pPr>
        <w:pStyle w:val="Heading2"/>
        <w:spacing w:after="140" w:before="280"/>
      </w:pPr>
      <w:r>
        <w:rPr>
          <w:rFonts w:ascii="Arial" w:cs="Arial" w:eastAsia="Arial" w:hAnsi="Arial"/>
          <w:b/>
          <w:bCs/>
          <w:color w:val="2E86C1"/>
          <w:sz w:val="28"/>
          <w:szCs w:val="28"/>
        </w:rPr>
        <w:t xml:space="preserve">6.8 IS como ecosistema con TPT</w:t>
      </w:r>
    </w:p>
    <w:p>
      <w:pPr>
        <w:spacing w:after="60" w:before="60"/>
        <w:jc w:val="left"/>
      </w:pPr>
      <w:r>
        <w:rPr>
          <w:rFonts w:ascii="Arial" w:cs="Arial" w:eastAsia="Arial" w:hAnsi="Arial"/>
          <w:b w:val="false"/>
          <w:bCs w:val="false"/>
          <w:i w:val="false"/>
          <w:iCs w:val="false"/>
          <w:color w:val="1A1A1A"/>
          <w:sz w:val="22"/>
          <w:szCs w:val="22"/>
        </w:rPr>
        <w:t xml:space="preserve">IS y TPT no son dos servicios separados: son dos puertas de entrada al mismo espacio. Una familia que viene los martes a terapia puede venir los sábados a la piscina. Esto genera un vínculo emocional con Pegasus que va más allá de cualquier servicio individual, aumenta el LTV de la familia y reduce el churn.</w:t>
      </w:r>
    </w:p>
    <w:p>
      <w:pPr>
        <w:pStyle w:val="Heading2"/>
        <w:spacing w:after="140" w:before="280"/>
      </w:pPr>
      <w:r>
        <w:rPr>
          <w:rFonts w:ascii="Arial" w:cs="Arial" w:eastAsia="Arial" w:hAnsi="Arial"/>
          <w:b/>
          <w:bCs/>
          <w:color w:val="2E86C1"/>
          <w:sz w:val="28"/>
          <w:szCs w:val="28"/>
        </w:rPr>
        <w:t xml:space="preserve">6.9 Cifras de impacto</w:t>
      </w:r>
    </w:p>
    <w:p>
      <w:pPr>
        <w:pStyle w:val="ListParagraph"/>
        <w:numPr>
          <w:ilvl w:val="0"/>
          <w:numId w:val="2"/>
        </w:numPr>
        <w:spacing w:after="40" w:before="40"/>
      </w:pPr>
      <w:r>
        <w:rPr>
          <w:rFonts w:ascii="Arial" w:cs="Arial" w:eastAsia="Arial" w:hAnsi="Arial"/>
          <w:color w:val="1A1A1A"/>
          <w:sz w:val="22"/>
          <w:szCs w:val="22"/>
        </w:rPr>
        <w:t xml:space="preserve">Más de 500 familias en actividades deportivas.</w:t>
      </w:r>
    </w:p>
    <w:p>
      <w:pPr>
        <w:pStyle w:val="ListParagraph"/>
        <w:numPr>
          <w:ilvl w:val="0"/>
          <w:numId w:val="2"/>
        </w:numPr>
        <w:spacing w:after="40" w:before="40"/>
      </w:pPr>
      <w:r>
        <w:rPr>
          <w:rFonts w:ascii="Arial" w:cs="Arial" w:eastAsia="Arial" w:hAnsi="Arial"/>
          <w:color w:val="1A1A1A"/>
          <w:sz w:val="22"/>
          <w:szCs w:val="22"/>
        </w:rPr>
        <w:t xml:space="preserve">14+ ubicaciones entre Madrid capital y municipios de la Comunidad de Madrid.</w:t>
      </w:r>
    </w:p>
    <w:p>
      <w:pPr>
        <w:pStyle w:val="ListParagraph"/>
        <w:numPr>
          <w:ilvl w:val="0"/>
          <w:numId w:val="2"/>
        </w:numPr>
        <w:spacing w:after="40" w:before="40"/>
      </w:pPr>
      <w:r>
        <w:rPr>
          <w:rFonts w:ascii="Arial" w:cs="Arial" w:eastAsia="Arial" w:hAnsi="Arial"/>
          <w:color w:val="1A1A1A"/>
          <w:sz w:val="22"/>
          <w:szCs w:val="22"/>
        </w:rPr>
        <w:t xml:space="preserve">Facturación 2025: 194.228€ (+24% vs 2024).</w:t>
      </w:r>
    </w:p>
    <w:p>
      <w:pPr>
        <w:pStyle w:val="ListParagraph"/>
        <w:numPr>
          <w:ilvl w:val="0"/>
          <w:numId w:val="2"/>
        </w:numPr>
        <w:spacing w:after="40" w:before="40"/>
      </w:pPr>
      <w:r>
        <w:rPr>
          <w:rFonts w:ascii="Arial" w:cs="Arial" w:eastAsia="Arial" w:hAnsi="Arial"/>
          <w:color w:val="1A1A1A"/>
          <w:sz w:val="22"/>
          <w:szCs w:val="22"/>
        </w:rPr>
        <w:t xml:space="preserve">Presupuesto 2026: 184.245€ (estrategia de crecimiento controlado enfocada en aumentar el ticket medio).</w:t>
      </w:r>
    </w:p>
    <w:p>
      <w:pPr>
        <w:pStyle w:val="ListParagraph"/>
        <w:numPr>
          <w:ilvl w:val="0"/>
          <w:numId w:val="2"/>
        </w:numPr>
        <w:spacing w:after="40" w:before="40"/>
      </w:pPr>
      <w:r>
        <w:rPr>
          <w:rFonts w:ascii="Arial" w:cs="Arial" w:eastAsia="Arial" w:hAnsi="Arial"/>
          <w:color w:val="1A1A1A"/>
          <w:sz w:val="22"/>
          <w:szCs w:val="22"/>
        </w:rPr>
        <w:t xml:space="preserve">Premio Innovación La Caixa por innovación en autonomía personal y atención a la discapacidad.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FB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6.10 METODOLOGÍA DE INTERVENCIÓN EN IS  ★ NUEVO EN V10</w:t>
            </w:r>
          </w:p>
        </w:tc>
      </w:tr>
    </w:tbl>
    <w:p>
      <w:pPr>
        <w:spacing w:after="40" w:before="40"/>
      </w:pPr>
      <w:r>
        <w:t xml:space="preserve"/>
      </w:r>
    </w:p>
    <w:p>
      <w:pPr>
        <w:spacing w:after="60" w:before="60"/>
        <w:jc w:val="left"/>
      </w:pPr>
      <w:r>
        <w:rPr>
          <w:rFonts w:ascii="Arial" w:cs="Arial" w:eastAsia="Arial" w:hAnsi="Arial"/>
          <w:b w:val="false"/>
          <w:bCs w:val="false"/>
          <w:i/>
          <w:iCs/>
          <w:color w:val="555555"/>
          <w:sz w:val="22"/>
          <w:szCs w:val="22"/>
        </w:rPr>
        <w:t xml:space="preserve">Este apartado documenta el cuerpo metodológico de Inclusive Sport, desarrollado por Rober (Director Técnico). Complementa la información operativa y económica de los apartados 6.1–6.9 explicando cómo se diseña e imparte cada sesión y por qué se hace así.</w:t>
      </w:r>
    </w:p>
    <w:p>
      <w:pPr>
        <w:spacing w:after="40" w:before="40"/>
      </w:pPr>
      <w:r>
        <w:t xml:space="preserve"/>
      </w:r>
    </w:p>
    <w:p>
      <w:pPr>
        <w:pStyle w:val="Heading2"/>
        <w:spacing w:after="140" w:before="280"/>
      </w:pPr>
      <w:r>
        <w:rPr>
          <w:rFonts w:ascii="Arial" w:cs="Arial" w:eastAsia="Arial" w:hAnsi="Arial"/>
          <w:b/>
          <w:bCs/>
          <w:color w:val="2E86C1"/>
          <w:sz w:val="28"/>
          <w:szCs w:val="28"/>
        </w:rPr>
        <w:t xml:space="preserve">Propósito, misión y visión de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73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PROPÓSITO</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"Cambiar el paradigma actual de la discapacidad y reducir el impacto negativo que este tiene en la autoestima de las personas."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MISIÓN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"Demostrar que lo que verdaderamente nos limita en la vida es el MIEDO."</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VISIÓN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"Convertirnos en el modelo de intervención referente en el panorama de la discapacidad."</w:t>
            </w:r>
          </w:p>
        </w:tc>
      </w:tr>
    </w:tbl>
    <w:p>
      <w:pPr>
        <w:pStyle w:val="Heading2"/>
        <w:spacing w:after="140" w:before="280"/>
      </w:pPr>
      <w:r>
        <w:rPr>
          <w:rFonts w:ascii="Arial" w:cs="Arial" w:eastAsia="Arial" w:hAnsi="Arial"/>
          <w:b/>
          <w:bCs/>
          <w:color w:val="2E86C1"/>
          <w:sz w:val="28"/>
          <w:szCs w:val="28"/>
        </w:rPr>
        <w:t xml:space="preserve">Target de IS</w:t>
      </w:r>
    </w:p>
    <w:p>
      <w:pPr>
        <w:pStyle w:val="ListParagraph"/>
        <w:numPr>
          <w:ilvl w:val="0"/>
          <w:numId w:val="2"/>
        </w:numPr>
        <w:spacing w:after="40" w:before="40"/>
      </w:pPr>
      <w:r>
        <w:rPr>
          <w:rFonts w:ascii="Arial" w:cs="Arial" w:eastAsia="Arial" w:hAnsi="Arial"/>
          <w:color w:val="1A1A1A"/>
          <w:sz w:val="22"/>
          <w:szCs w:val="22"/>
        </w:rPr>
        <w:t xml:space="preserve">Familias con hijos con discapacidad entre 3 y 12 años (90% del público actual).</w:t>
      </w:r>
    </w:p>
    <w:p>
      <w:pPr>
        <w:pStyle w:val="ListParagraph"/>
        <w:numPr>
          <w:ilvl w:val="0"/>
          <w:numId w:val="2"/>
        </w:numPr>
        <w:spacing w:after="40" w:before="40"/>
      </w:pPr>
      <w:r>
        <w:rPr>
          <w:rFonts w:ascii="Arial" w:cs="Arial" w:eastAsia="Arial" w:hAnsi="Arial"/>
          <w:color w:val="1A1A1A"/>
          <w:sz w:val="22"/>
          <w:szCs w:val="22"/>
        </w:rPr>
        <w:t xml:space="preserve">Personas adultas con discapacidad (12 años — sin límite de edad).</w:t>
      </w:r>
    </w:p>
    <w:p>
      <w:pPr>
        <w:pStyle w:val="ListParagraph"/>
        <w:numPr>
          <w:ilvl w:val="0"/>
          <w:numId w:val="2"/>
        </w:numPr>
        <w:spacing w:after="40" w:before="40"/>
      </w:pPr>
      <w:r>
        <w:rPr>
          <w:rFonts w:ascii="Arial" w:cs="Arial" w:eastAsia="Arial" w:hAnsi="Arial"/>
          <w:color w:val="1A1A1A"/>
          <w:sz w:val="22"/>
          <w:szCs w:val="22"/>
        </w:rPr>
        <w:t xml:space="preserve">Familias con hijos sin discapacidad entre 3 y 12 años (objetivo estratégico de crecimiento).</w:t>
      </w:r>
    </w:p>
    <w:p>
      <w:pPr>
        <w:pStyle w:val="Heading2"/>
        <w:spacing w:after="140" w:before="280"/>
      </w:pPr>
      <w:r>
        <w:rPr>
          <w:rFonts w:ascii="Arial" w:cs="Arial" w:eastAsia="Arial" w:hAnsi="Arial"/>
          <w:b/>
          <w:bCs/>
          <w:color w:val="2E86C1"/>
          <w:sz w:val="28"/>
          <w:szCs w:val="28"/>
        </w:rPr>
        <w:t xml:space="preserve">Bases de la intervención</w:t>
      </w:r>
    </w:p>
    <w:p>
      <w:pPr>
        <w:pStyle w:val="Heading3"/>
        <w:spacing w:after="100" w:before="200"/>
      </w:pPr>
      <w:r>
        <w:rPr>
          <w:rFonts w:ascii="Arial" w:cs="Arial" w:eastAsia="Arial" w:hAnsi="Arial"/>
          <w:b/>
          <w:bCs/>
          <w:color w:val="1A1A1A"/>
          <w:sz w:val="24"/>
          <w:szCs w:val="24"/>
        </w:rPr>
        <w:t xml:space="preserve">Bases generales (comunes a TPT e IS)</w:t>
      </w:r>
    </w:p>
    <w:p>
      <w:pPr>
        <w:pStyle w:val="ListParagraph"/>
        <w:numPr>
          <w:ilvl w:val="0"/>
          <w:numId w:val="2"/>
        </w:numPr>
        <w:spacing w:after="40" w:before="40"/>
      </w:pPr>
      <w:r>
        <w:rPr>
          <w:rFonts w:ascii="Arial" w:cs="Arial" w:eastAsia="Arial" w:hAnsi="Arial"/>
          <w:b/>
          <w:bCs/>
          <w:color w:val="1A1A1A"/>
          <w:sz w:val="22"/>
          <w:szCs w:val="22"/>
        </w:rPr>
        <w:t xml:space="preserve">el deporte es un medio para conseguir un fin. No es el objetivo en sí mismo.</w:t>
      </w:r>
      <w:r>
        <w:rPr>
          <w:rFonts w:ascii="Arial" w:cs="Arial" w:eastAsia="Arial" w:hAnsi="Arial"/>
          <w:color w:val="1A1A1A"/>
          <w:sz w:val="22"/>
          <w:szCs w:val="22"/>
        </w:rPr>
        <w:t xml:space="preserve">SOMOS EDUCACIÓN: </w:t>
      </w:r>
    </w:p>
    <w:p>
      <w:pPr>
        <w:pStyle w:val="ListParagraph"/>
        <w:numPr>
          <w:ilvl w:val="0"/>
          <w:numId w:val="2"/>
        </w:numPr>
        <w:spacing w:after="40" w:before="40"/>
      </w:pPr>
      <w:r>
        <w:rPr>
          <w:rFonts w:ascii="Arial" w:cs="Arial" w:eastAsia="Arial" w:hAnsi="Arial"/>
          <w:b/>
          <w:bCs/>
          <w:color w:val="1A1A1A"/>
          <w:sz w:val="22"/>
          <w:szCs w:val="22"/>
        </w:rPr>
        <w:t xml:space="preserve">la filosofía Pegasus rompe con el enfoque clínico. No se busca corregir la discapacidad.</w:t>
      </w:r>
      <w:r>
        <w:rPr>
          <w:rFonts w:ascii="Arial" w:cs="Arial" w:eastAsia="Arial" w:hAnsi="Arial"/>
          <w:color w:val="1A1A1A"/>
          <w:sz w:val="22"/>
          <w:szCs w:val="22"/>
        </w:rPr>
        <w:t xml:space="preserve">NO REHABILITAMOS, REEDUCAMOS: </w:t>
      </w:r>
    </w:p>
    <w:p>
      <w:pPr>
        <w:pStyle w:val="ListParagraph"/>
        <w:numPr>
          <w:ilvl w:val="0"/>
          <w:numId w:val="2"/>
        </w:numPr>
        <w:spacing w:after="40" w:before="40"/>
      </w:pPr>
      <w:r>
        <w:rPr>
          <w:rFonts w:ascii="Arial" w:cs="Arial" w:eastAsia="Arial" w:hAnsi="Arial"/>
          <w:b/>
          <w:bCs/>
          <w:color w:val="1A1A1A"/>
          <w:sz w:val="22"/>
          <w:szCs w:val="22"/>
        </w:rPr>
        <w:t xml:space="preserve">el impacto no puede centrarse solo en el usuario; hay que impactar en su entorno familiar.</w:t>
      </w:r>
      <w:r>
        <w:rPr>
          <w:rFonts w:ascii="Arial" w:cs="Arial" w:eastAsia="Arial" w:hAnsi="Arial"/>
          <w:color w:val="1A1A1A"/>
          <w:sz w:val="22"/>
          <w:szCs w:val="22"/>
        </w:rPr>
        <w:t xml:space="preserve">NUESTRO FOCO, LA FAMILIA: </w:t>
      </w:r>
    </w:p>
    <w:p>
      <w:pPr>
        <w:pStyle w:val="ListParagraph"/>
        <w:numPr>
          <w:ilvl w:val="0"/>
          <w:numId w:val="2"/>
        </w:numPr>
        <w:spacing w:after="40" w:before="40"/>
      </w:pPr>
      <w:r>
        <w:rPr>
          <w:rFonts w:ascii="Arial" w:cs="Arial" w:eastAsia="Arial" w:hAnsi="Arial"/>
          <w:b/>
          <w:bCs/>
          <w:color w:val="1A1A1A"/>
          <w:sz w:val="22"/>
          <w:szCs w:val="22"/>
        </w:rPr>
        <w:t xml:space="preserve">si durante una sesión ocurre algo importante emocionalmente, se corta la propuesta planificada y se aborda.</w:t>
      </w:r>
      <w:r>
        <w:rPr>
          <w:rFonts w:ascii="Arial" w:cs="Arial" w:eastAsia="Arial" w:hAnsi="Arial"/>
          <w:color w:val="1A1A1A"/>
          <w:sz w:val="22"/>
          <w:szCs w:val="22"/>
        </w:rPr>
        <w:t xml:space="preserve">IMPORTANCIA DEL PLANO EMOCIONAL: </w:t>
      </w:r>
    </w:p>
    <w:p>
      <w:pPr>
        <w:pStyle w:val="ListParagraph"/>
        <w:numPr>
          <w:ilvl w:val="0"/>
          <w:numId w:val="2"/>
        </w:numPr>
        <w:spacing w:after="40" w:before="40"/>
      </w:pPr>
      <w:r>
        <w:rPr>
          <w:rFonts w:ascii="Arial" w:cs="Arial" w:eastAsia="Arial" w:hAnsi="Arial"/>
          <w:b/>
          <w:bCs/>
          <w:color w:val="1A1A1A"/>
          <w:sz w:val="22"/>
          <w:szCs w:val="22"/>
        </w:rPr>
        <w:t xml:space="preserve">encontrar el equilibrio entre sostener y ayudar. Ejemplo: dejar tiempo para que los usuarios se pongan y quiten las chanclas por sí mismos.</w:t>
      </w:r>
      <w:r>
        <w:rPr>
          <w:rFonts w:ascii="Arial" w:cs="Arial" w:eastAsia="Arial" w:hAnsi="Arial"/>
          <w:color w:val="1A1A1A"/>
          <w:sz w:val="22"/>
          <w:szCs w:val="22"/>
        </w:rPr>
        <w:t xml:space="preserve">FOMENTO DE LA AUTONOMÍA: </w:t>
      </w:r>
    </w:p>
    <w:p>
      <w:pPr>
        <w:pStyle w:val="ListParagraph"/>
        <w:numPr>
          <w:ilvl w:val="0"/>
          <w:numId w:val="2"/>
        </w:numPr>
        <w:spacing w:after="40" w:before="40"/>
      </w:pPr>
      <w:r>
        <w:rPr>
          <w:rFonts w:ascii="Arial" w:cs="Arial" w:eastAsia="Arial" w:hAnsi="Arial"/>
          <w:b/>
          <w:bCs/>
          <w:color w:val="1A1A1A"/>
          <w:sz w:val="22"/>
          <w:szCs w:val="22"/>
        </w:rPr>
        <w:t xml:space="preserve">la propia realización del juego debe ser divertida en sí misma, independientemente de los resultados.</w:t>
      </w:r>
      <w:r>
        <w:rPr>
          <w:rFonts w:ascii="Arial" w:cs="Arial" w:eastAsia="Arial" w:hAnsi="Arial"/>
          <w:color w:val="1A1A1A"/>
          <w:sz w:val="22"/>
          <w:szCs w:val="22"/>
        </w:rPr>
        <w:t xml:space="preserve">AUTOTÉLICO: </w:t>
      </w:r>
    </w:p>
    <w:p>
      <w:pPr>
        <w:pStyle w:val="Heading3"/>
        <w:spacing w:after="100" w:before="200"/>
      </w:pPr>
      <w:r>
        <w:rPr>
          <w:rFonts w:ascii="Arial" w:cs="Arial" w:eastAsia="Arial" w:hAnsi="Arial"/>
          <w:b/>
          <w:bCs/>
          <w:color w:val="1A1A1A"/>
          <w:sz w:val="24"/>
          <w:szCs w:val="24"/>
        </w:rPr>
        <w:t xml:space="preserve">Bases específicas de IS</w:t>
      </w:r>
    </w:p>
    <w:p>
      <w:pPr>
        <w:pStyle w:val="ListParagraph"/>
        <w:numPr>
          <w:ilvl w:val="0"/>
          <w:numId w:val="2"/>
        </w:numPr>
        <w:spacing w:after="40" w:before="40"/>
      </w:pPr>
      <w:r>
        <w:rPr>
          <w:rFonts w:ascii="Arial" w:cs="Arial" w:eastAsia="Arial" w:hAnsi="Arial"/>
          <w:color w:val="1A1A1A"/>
          <w:sz w:val="22"/>
          <w:szCs w:val="22"/>
        </w:rPr>
        <w:t xml:space="preserve">No competición — enfoque lúdico deportivo.</w:t>
      </w:r>
    </w:p>
    <w:p>
      <w:pPr>
        <w:pStyle w:val="ListParagraph"/>
        <w:numPr>
          <w:ilvl w:val="0"/>
          <w:numId w:val="2"/>
        </w:numPr>
        <w:spacing w:after="40" w:before="40"/>
      </w:pPr>
      <w:r>
        <w:rPr>
          <w:rFonts w:ascii="Arial" w:cs="Arial" w:eastAsia="Arial" w:hAnsi="Arial"/>
          <w:color w:val="1A1A1A"/>
          <w:sz w:val="22"/>
          <w:szCs w:val="22"/>
        </w:rPr>
        <w:t xml:space="preserve">No enseñamos deporte: realizamos práctica físico-deportiva.</w:t>
      </w:r>
    </w:p>
    <w:p>
      <w:pPr>
        <w:pStyle w:val="ListParagraph"/>
        <w:numPr>
          <w:ilvl w:val="0"/>
          <w:numId w:val="2"/>
        </w:numPr>
        <w:spacing w:after="40" w:before="40"/>
      </w:pPr>
      <w:r>
        <w:rPr>
          <w:rFonts w:ascii="Arial" w:cs="Arial" w:eastAsia="Arial" w:hAnsi="Arial"/>
          <w:color w:val="1A1A1A"/>
          <w:sz w:val="22"/>
          <w:szCs w:val="22"/>
        </w:rPr>
        <w:t xml:space="preserve">Principio de temporalidad: lo que hoy sirve, quizá mañana no. La metodología evoluciona en sus tres planos (deportivo, emocional y pedagógico).</w:t>
      </w:r>
    </w:p>
    <w:p>
      <w:pPr>
        <w:pStyle w:val="Heading2"/>
        <w:spacing w:after="140" w:before="280"/>
      </w:pPr>
      <w:r>
        <w:rPr>
          <w:rFonts w:ascii="Arial" w:cs="Arial" w:eastAsia="Arial" w:hAnsi="Arial"/>
          <w:b/>
          <w:bCs/>
          <w:color w:val="2E86C1"/>
          <w:sz w:val="28"/>
          <w:szCs w:val="28"/>
        </w:rPr>
        <w:t xml:space="preserve">Objetivo metodológico de IS</w:t>
      </w:r>
    </w:p>
    <w:p>
      <w:pPr>
        <w:spacing w:after="60" w:before="60"/>
        <w:jc w:val="left"/>
      </w:pPr>
      <w:r>
        <w:rPr>
          <w:rFonts w:ascii="Arial" w:cs="Arial" w:eastAsia="Arial" w:hAnsi="Arial"/>
          <w:b w:val="false"/>
          <w:bCs w:val="false"/>
          <w:i w:val="false"/>
          <w:iCs w:val="false"/>
          <w:color w:val="1A1A1A"/>
          <w:sz w:val="22"/>
          <w:szCs w:val="22"/>
        </w:rPr>
        <w:t xml:space="preserve">Objetivo general: "Reducir el impacto negativo que tiene el paradigma de la discapacidad en el bienestar emocional de nuestros usuarios."</w:t>
      </w:r>
    </w:p>
    <w:p>
      <w:pPr>
        <w:spacing w:after="40" w:before="4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Reducir las creencias limitantes respecto a la discapacidad.</w:t>
      </w:r>
      <w:r>
        <w:rPr>
          <w:rFonts w:ascii="Arial" w:cs="Arial" w:eastAsia="Arial" w:hAnsi="Arial"/>
          <w:color w:val="1A1A1A"/>
          <w:sz w:val="22"/>
          <w:szCs w:val="22"/>
        </w:rPr>
        <w:t xml:space="preserve">O.E.1: </w:t>
      </w:r>
    </w:p>
    <w:p>
      <w:pPr>
        <w:pStyle w:val="ListParagraph"/>
        <w:numPr>
          <w:ilvl w:val="0"/>
          <w:numId w:val="2"/>
        </w:numPr>
        <w:spacing w:after="40" w:before="40"/>
      </w:pPr>
      <w:r>
        <w:rPr>
          <w:rFonts w:ascii="Arial" w:cs="Arial" w:eastAsia="Arial" w:hAnsi="Arial"/>
          <w:b/>
          <w:bCs/>
          <w:color w:val="1A1A1A"/>
          <w:sz w:val="22"/>
          <w:szCs w:val="22"/>
        </w:rPr>
        <w:t xml:space="preserve">Mejorar el conocimiento personal (islas de competencia).</w:t>
      </w:r>
      <w:r>
        <w:rPr>
          <w:rFonts w:ascii="Arial" w:cs="Arial" w:eastAsia="Arial" w:hAnsi="Arial"/>
          <w:color w:val="1A1A1A"/>
          <w:sz w:val="22"/>
          <w:szCs w:val="22"/>
        </w:rPr>
        <w:t xml:space="preserve">O.E.2: </w:t>
      </w:r>
    </w:p>
    <w:p>
      <w:pPr>
        <w:pStyle w:val="ListParagraph"/>
        <w:numPr>
          <w:ilvl w:val="0"/>
          <w:numId w:val="2"/>
        </w:numPr>
        <w:spacing w:after="40" w:before="40"/>
      </w:pPr>
      <w:r>
        <w:rPr>
          <w:rFonts w:ascii="Arial" w:cs="Arial" w:eastAsia="Arial" w:hAnsi="Arial"/>
          <w:b/>
          <w:bCs/>
          <w:color w:val="1A1A1A"/>
          <w:sz w:val="22"/>
          <w:szCs w:val="22"/>
        </w:rPr>
        <w:t xml:space="preserve">Incrementar la autonomía de los participantes.</w:t>
      </w:r>
      <w:r>
        <w:rPr>
          <w:rFonts w:ascii="Arial" w:cs="Arial" w:eastAsia="Arial" w:hAnsi="Arial"/>
          <w:color w:val="1A1A1A"/>
          <w:sz w:val="22"/>
          <w:szCs w:val="22"/>
        </w:rPr>
        <w:t xml:space="preserve">O.E.3: </w:t>
      </w:r>
    </w:p>
    <w:p>
      <w:pPr>
        <w:pStyle w:val="ListParagraph"/>
        <w:numPr>
          <w:ilvl w:val="0"/>
          <w:numId w:val="2"/>
        </w:numPr>
        <w:spacing w:after="40" w:before="40"/>
      </w:pPr>
      <w:r>
        <w:rPr>
          <w:rFonts w:ascii="Arial" w:cs="Arial" w:eastAsia="Arial" w:hAnsi="Arial"/>
          <w:b/>
          <w:bCs/>
          <w:color w:val="1A1A1A"/>
          <w:sz w:val="22"/>
          <w:szCs w:val="22"/>
        </w:rPr>
        <w:t xml:space="preserve">Fomentar la inclusión (incorporando niños sin discapacidad).</w:t>
      </w:r>
      <w:r>
        <w:rPr>
          <w:rFonts w:ascii="Arial" w:cs="Arial" w:eastAsia="Arial" w:hAnsi="Arial"/>
          <w:color w:val="1A1A1A"/>
          <w:sz w:val="22"/>
          <w:szCs w:val="22"/>
        </w:rPr>
        <w:t xml:space="preserve">O.E.4: </w:t>
      </w:r>
    </w:p>
    <w:p>
      <w:pPr>
        <w:pStyle w:val="ListParagraph"/>
        <w:numPr>
          <w:ilvl w:val="0"/>
          <w:numId w:val="2"/>
        </w:numPr>
        <w:spacing w:after="40" w:before="40"/>
      </w:pPr>
      <w:r>
        <w:rPr>
          <w:rFonts w:ascii="Arial" w:cs="Arial" w:eastAsia="Arial" w:hAnsi="Arial"/>
          <w:b/>
          <w:bCs/>
          <w:color w:val="1A1A1A"/>
          <w:sz w:val="22"/>
          <w:szCs w:val="22"/>
        </w:rPr>
        <w:t xml:space="preserve">Atender el objetivo del niño.</w:t>
      </w:r>
      <w:r>
        <w:rPr>
          <w:rFonts w:ascii="Arial" w:cs="Arial" w:eastAsia="Arial" w:hAnsi="Arial"/>
          <w:color w:val="1A1A1A"/>
          <w:sz w:val="22"/>
          <w:szCs w:val="22"/>
        </w:rPr>
        <w:t xml:space="preserve">O.E.5: </w:t>
      </w:r>
    </w:p>
    <w:p>
      <w:pPr>
        <w:pStyle w:val="ListParagraph"/>
        <w:numPr>
          <w:ilvl w:val="0"/>
          <w:numId w:val="2"/>
        </w:numPr>
        <w:spacing w:after="40" w:before="40"/>
      </w:pPr>
      <w:r>
        <w:rPr>
          <w:rFonts w:ascii="Arial" w:cs="Arial" w:eastAsia="Arial" w:hAnsi="Arial"/>
          <w:b/>
          <w:bCs/>
          <w:color w:val="1A1A1A"/>
          <w:sz w:val="22"/>
          <w:szCs w:val="22"/>
        </w:rPr>
        <w:t xml:space="preserve">Atender el objetivo del adulto.</w:t>
      </w:r>
      <w:r>
        <w:rPr>
          <w:rFonts w:ascii="Arial" w:cs="Arial" w:eastAsia="Arial" w:hAnsi="Arial"/>
          <w:color w:val="1A1A1A"/>
          <w:sz w:val="22"/>
          <w:szCs w:val="22"/>
        </w:rPr>
        <w:t xml:space="preserve">O.E.6: </w:t>
      </w:r>
    </w:p>
    <w:p>
      <w:pPr>
        <w:pStyle w:val="Heading2"/>
        <w:spacing w:after="140" w:before="280"/>
      </w:pPr>
      <w:r>
        <w:rPr>
          <w:rFonts w:ascii="Arial" w:cs="Arial" w:eastAsia="Arial" w:hAnsi="Arial"/>
          <w:b/>
          <w:bCs/>
          <w:color w:val="2E86C1"/>
          <w:sz w:val="28"/>
          <w:szCs w:val="28"/>
        </w:rPr>
        <w:t xml:space="preserve">La diversión como principio fundamental</w:t>
      </w:r>
    </w:p>
    <w:p>
      <w:pPr>
        <w:spacing w:after="60" w:before="60"/>
        <w:jc w:val="left"/>
      </w:pPr>
      <w:r>
        <w:rPr>
          <w:rFonts w:ascii="Arial" w:cs="Arial" w:eastAsia="Arial" w:hAnsi="Arial"/>
          <w:b w:val="false"/>
          <w:bCs w:val="false"/>
          <w:i w:val="false"/>
          <w:iCs w:val="false"/>
          <w:color w:val="1A1A1A"/>
          <w:sz w:val="22"/>
          <w:szCs w:val="22"/>
        </w:rPr>
        <w:t xml:space="preserve">La diversión es el principio rector de todas las sesiones de IS. Hay que imaginarlo como una EXPERIENCIA: el material hace que venir a la piscina sea como ir al parque de atracciones, el flow hace que la gente se sienta como en una discoteca, y el diseño de la actividad sumerge a todos en algo autotélico que genera satisfacción en sí misma.</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Las tres herramientas que garantizan la diversión son:</w:t>
      </w:r>
    </w:p>
    <w:p>
      <w:pPr>
        <w:pStyle w:val="Heading3"/>
        <w:spacing w:after="100" w:before="200"/>
      </w:pPr>
      <w:r>
        <w:rPr>
          <w:rFonts w:ascii="Arial" w:cs="Arial" w:eastAsia="Arial" w:hAnsi="Arial"/>
          <w:b/>
          <w:bCs/>
          <w:color w:val="1A1A1A"/>
          <w:sz w:val="24"/>
          <w:szCs w:val="24"/>
        </w:rPr>
        <w:t xml:space="preserve">El Juego</w:t>
      </w:r>
    </w:p>
    <w:p>
      <w:pPr>
        <w:spacing w:after="60" w:before="60"/>
        <w:jc w:val="left"/>
      </w:pPr>
      <w:r>
        <w:rPr>
          <w:rFonts w:ascii="Arial" w:cs="Arial" w:eastAsia="Arial" w:hAnsi="Arial"/>
          <w:b w:val="false"/>
          <w:bCs w:val="false"/>
          <w:i w:val="false"/>
          <w:iCs w:val="false"/>
          <w:color w:val="1A1A1A"/>
          <w:sz w:val="22"/>
          <w:szCs w:val="22"/>
        </w:rPr>
        <w:t xml:space="preserve">Mismo principio que en TPT: actividad estructurada con objetivos pedagógicos, reglas, tiempo, roles, tres rondas y progresiones. En IS aplica un principio específico adicional: el TAME (Tiempo de Acción Motriz Efectiva), que mide cuánto tiempo real está cada usuario realizando la actividad objetivo. Hay que maximizarlo: si en un juego solo dos participantes están activos mientras el resto espera, hay que rediseñarlo.</w:t>
      </w:r>
    </w:p>
    <w:p>
      <w:pPr>
        <w:pStyle w:val="Heading3"/>
        <w:spacing w:after="100" w:before="200"/>
      </w:pPr>
      <w:r>
        <w:rPr>
          <w:rFonts w:ascii="Arial" w:cs="Arial" w:eastAsia="Arial" w:hAnsi="Arial"/>
          <w:b/>
          <w:bCs/>
          <w:color w:val="1A1A1A"/>
          <w:sz w:val="24"/>
          <w:szCs w:val="24"/>
        </w:rPr>
        <w:t xml:space="preserve">El Material (efecto Waouh)</w:t>
      </w:r>
    </w:p>
    <w:p>
      <w:pPr>
        <w:spacing w:after="60" w:before="60"/>
        <w:jc w:val="left"/>
      </w:pPr>
      <w:r>
        <w:rPr>
          <w:rFonts w:ascii="Arial" w:cs="Arial" w:eastAsia="Arial" w:hAnsi="Arial"/>
          <w:b w:val="false"/>
          <w:bCs w:val="false"/>
          <w:i w:val="false"/>
          <w:iCs w:val="false"/>
          <w:color w:val="1A1A1A"/>
          <w:sz w:val="22"/>
          <w:szCs w:val="22"/>
        </w:rPr>
        <w:t xml:space="preserve">Explícito (elementos reales), gigante (que llame la atención y se note que está IS trabajando en la piscina), atractivo (marcas reconocibles como Pepa Pig, Nemo, PocoYo, La Patrulla Canina), variable (evitar que los usuarios se acostumbren) y ambientado según la temática. Norma: ¡HAY QUE SACAR LOS FLOTADORES! mínimo una vez al mes.</w:t>
      </w:r>
    </w:p>
    <w:p>
      <w:pPr>
        <w:pStyle w:val="Heading3"/>
        <w:spacing w:after="100" w:before="200"/>
      </w:pPr>
      <w:r>
        <w:rPr>
          <w:rFonts w:ascii="Arial" w:cs="Arial" w:eastAsia="Arial" w:hAnsi="Arial"/>
          <w:b/>
          <w:bCs/>
          <w:color w:val="1A1A1A"/>
          <w:sz w:val="24"/>
          <w:szCs w:val="24"/>
        </w:rPr>
        <w:t xml:space="preserve">El Flow</w:t>
      </w:r>
    </w:p>
    <w:p>
      <w:pPr>
        <w:spacing w:after="60" w:before="60"/>
        <w:jc w:val="left"/>
      </w:pPr>
      <w:r>
        <w:rPr>
          <w:rFonts w:ascii="Arial" w:cs="Arial" w:eastAsia="Arial" w:hAnsi="Arial"/>
          <w:b w:val="false"/>
          <w:bCs w:val="false"/>
          <w:i w:val="false"/>
          <w:iCs w:val="false"/>
          <w:color w:val="1A1A1A"/>
          <w:sz w:val="22"/>
          <w:szCs w:val="22"/>
        </w:rPr>
        <w:t xml:space="preserve">Estilo de comunicación dinámico, activo y llamativo. La actitud del profesional debe ser arrolladora: se tiene que notar que IS ha llegado a la instalación. Se tiene que generar muy buen rollo tanto con el usuario y la familia como con el resto de personas de la instalación.</w:t>
      </w:r>
    </w:p>
    <w:p>
      <w:pPr>
        <w:pStyle w:val="Heading2"/>
        <w:spacing w:after="140" w:before="280"/>
      </w:pPr>
      <w:r>
        <w:rPr>
          <w:rFonts w:ascii="Arial" w:cs="Arial" w:eastAsia="Arial" w:hAnsi="Arial"/>
          <w:b/>
          <w:bCs/>
          <w:color w:val="2E86C1"/>
          <w:sz w:val="28"/>
          <w:szCs w:val="28"/>
        </w:rPr>
        <w:t xml:space="preserve">Principios de las clases IS</w:t>
      </w:r>
    </w:p>
    <w:p>
      <w:pPr>
        <w:pStyle w:val="Heading3"/>
        <w:spacing w:after="100" w:before="200"/>
      </w:pPr>
      <w:r>
        <w:rPr>
          <w:rFonts w:ascii="Arial" w:cs="Arial" w:eastAsia="Arial" w:hAnsi="Arial"/>
          <w:b/>
          <w:bCs/>
          <w:color w:val="1A1A1A"/>
          <w:sz w:val="24"/>
          <w:szCs w:val="24"/>
        </w:rPr>
        <w:t xml:space="preserve">6.10.1 Dinámicas</w:t>
      </w:r>
    </w:p>
    <w:p>
      <w:pPr>
        <w:spacing w:after="60" w:before="60"/>
        <w:jc w:val="left"/>
      </w:pPr>
      <w:r>
        <w:rPr>
          <w:rFonts w:ascii="Arial" w:cs="Arial" w:eastAsia="Arial" w:hAnsi="Arial"/>
          <w:b w:val="false"/>
          <w:bCs w:val="false"/>
          <w:i w:val="false"/>
          <w:iCs w:val="false"/>
          <w:color w:val="1A1A1A"/>
          <w:sz w:val="22"/>
          <w:szCs w:val="22"/>
        </w:rPr>
        <w:t xml:space="preserve">Las clases deben ser activas (participación física, mental y emocional simultánea), variadas (repertorio de juegos diferentes para evitar la repetición y mantener el interés) y ágiles (duración calibrada: suficientemente corta para mantener la atención, suficientemente larga para el aprendizaje).</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Herramientas clave: reloj para controlar inicio, duración y fin de cada actividad; TAME para maximizar el tiempo de acción efectiva; señales visuales (tarjetas de colores) para cambios de actividad; involucrar a los usuarios en la sugerencia o adaptación de juegos.</w:t>
      </w:r>
    </w:p>
    <w:p>
      <w:pPr>
        <w:spacing w:after="40" w:before="40"/>
      </w:pPr>
      <w:r>
        <w:t xml:space="preserve"/>
      </w:r>
    </w:p>
    <w:p>
      <w:pPr>
        <w:spacing w:after="60" w:before="60"/>
      </w:pPr>
      <w:r>
        <w:rPr>
          <w:rFonts w:ascii="Arial" w:cs="Arial" w:eastAsia="Arial" w:hAnsi="Arial"/>
          <w:i/>
          <w:iCs/>
          <w:color w:val="555555"/>
          <w:sz w:val="21"/>
          <w:szCs w:val="21"/>
        </w:rPr>
        <w:t xml:space="preserve">Regla de oro: si el juego parece aburrido, lo es. Si el profesional se aburre realizando el juego, el juego es aburrido. Hay que replantear o introducir variantes.</w:t>
      </w:r>
    </w:p>
    <w:p>
      <w:pPr>
        <w:pStyle w:val="Heading3"/>
        <w:spacing w:after="100" w:before="200"/>
      </w:pPr>
      <w:r>
        <w:rPr>
          <w:rFonts w:ascii="Arial" w:cs="Arial" w:eastAsia="Arial" w:hAnsi="Arial"/>
          <w:b/>
          <w:bCs/>
          <w:color w:val="1A1A1A"/>
          <w:sz w:val="24"/>
          <w:szCs w:val="24"/>
        </w:rPr>
        <w:t xml:space="preserve">6.10.2 Interactivas</w:t>
      </w:r>
    </w:p>
    <w:p>
      <w:pPr>
        <w:spacing w:after="60" w:before="60"/>
        <w:jc w:val="left"/>
      </w:pPr>
      <w:r>
        <w:rPr>
          <w:rFonts w:ascii="Arial" w:cs="Arial" w:eastAsia="Arial" w:hAnsi="Arial"/>
          <w:b w:val="false"/>
          <w:bCs w:val="false"/>
          <w:i w:val="false"/>
          <w:iCs w:val="false"/>
          <w:color w:val="1A1A1A"/>
          <w:sz w:val="22"/>
          <w:szCs w:val="22"/>
        </w:rPr>
        <w:t xml:space="preserve">El foco es la relación entre participantes. La interacción se genera a través de dos mecanismos: competición (participantes compitiendo entre sí, añadiendo motivación) y cooperación (objetivo común, compartiendo material o espacio). La zona de interacción común solo se garantiza si también se cumplen los principios de Profesional Activo y Equidad e Inclusión.</w:t>
      </w:r>
    </w:p>
    <w:p>
      <w:pPr>
        <w:pStyle w:val="Heading3"/>
        <w:spacing w:after="100" w:before="200"/>
      </w:pPr>
      <w:r>
        <w:rPr>
          <w:rFonts w:ascii="Arial" w:cs="Arial" w:eastAsia="Arial" w:hAnsi="Arial"/>
          <w:b/>
          <w:bCs/>
          <w:color w:val="1A1A1A"/>
          <w:sz w:val="24"/>
          <w:szCs w:val="24"/>
        </w:rPr>
        <w:t xml:space="preserve">6.10.3 Profesional Activo (Inmersivo)</w:t>
      </w:r>
    </w:p>
    <w:p>
      <w:pPr>
        <w:spacing w:after="60" w:before="60"/>
        <w:jc w:val="left"/>
      </w:pPr>
      <w:r>
        <w:rPr>
          <w:rFonts w:ascii="Arial" w:cs="Arial" w:eastAsia="Arial" w:hAnsi="Arial"/>
          <w:b w:val="false"/>
          <w:bCs w:val="false"/>
          <w:i w:val="false"/>
          <w:iCs w:val="false"/>
          <w:color w:val="1A1A1A"/>
          <w:sz w:val="22"/>
          <w:szCs w:val="22"/>
        </w:rPr>
        <w:t xml:space="preserve">El profesional SIEMPRE está en el agua. No es un observador: es un componente integral de la actividad, estando físicamente presente y emocionalmente conectado. Su rol es simultáneamente el de compañero, líder y animador/showman.</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Herramientas:</w:t>
      </w:r>
    </w:p>
    <w:p>
      <w:pPr>
        <w:pStyle w:val="ListParagraph"/>
        <w:numPr>
          <w:ilvl w:val="0"/>
          <w:numId w:val="2"/>
        </w:numPr>
        <w:spacing w:after="40" w:before="40"/>
      </w:pPr>
      <w:r>
        <w:rPr>
          <w:rFonts w:ascii="Arial" w:cs="Arial" w:eastAsia="Arial" w:hAnsi="Arial"/>
          <w:b/>
          <w:bCs/>
          <w:color w:val="1A1A1A"/>
          <w:sz w:val="22"/>
          <w:szCs w:val="22"/>
        </w:rPr>
        <w:t xml:space="preserve">el profesional siempre debe estar a un máximo de dos brazadas de todos los usuarios. Garantiza calidad, aprendizaje y seguridad simultáneamente. El feedback se da en directo, adaptado al nivel de cada usuario.</w:t>
      </w:r>
      <w:r>
        <w:rPr>
          <w:rFonts w:ascii="Arial" w:cs="Arial" w:eastAsia="Arial" w:hAnsi="Arial"/>
          <w:color w:val="1A1A1A"/>
          <w:sz w:val="22"/>
          <w:szCs w:val="22"/>
        </w:rPr>
        <w:t xml:space="preserve">Círculo de Influencia: </w:t>
      </w:r>
    </w:p>
    <w:p>
      <w:pPr>
        <w:pStyle w:val="ListParagraph"/>
        <w:numPr>
          <w:ilvl w:val="0"/>
          <w:numId w:val="2"/>
        </w:numPr>
        <w:spacing w:after="40" w:before="40"/>
      </w:pPr>
      <w:r>
        <w:rPr>
          <w:rFonts w:ascii="Arial" w:cs="Arial" w:eastAsia="Arial" w:hAnsi="Arial"/>
          <w:b/>
          <w:bCs/>
          <w:color w:val="1A1A1A"/>
          <w:sz w:val="22"/>
          <w:szCs w:val="22"/>
        </w:rPr>
        <w:t xml:space="preserve">directa (guiar el movimiento de pie, principalmente en niveles 1AB y 2A), indirecta (pequeñas correcciones durante el desplazamiento) y parte activa (el profesional realiza la acción como modelo para que el usuario se fije — neuronas espejo).</w:t>
      </w:r>
      <w:r>
        <w:rPr>
          <w:rFonts w:ascii="Arial" w:cs="Arial" w:eastAsia="Arial" w:hAnsi="Arial"/>
          <w:color w:val="1A1A1A"/>
          <w:sz w:val="22"/>
          <w:szCs w:val="22"/>
        </w:rPr>
        <w:t xml:space="preserve">Técnicas de manipulación (para PiscinaSUS): </w:t>
      </w:r>
    </w:p>
    <w:p>
      <w:pPr>
        <w:pStyle w:val="ListParagraph"/>
        <w:numPr>
          <w:ilvl w:val="0"/>
          <w:numId w:val="2"/>
        </w:numPr>
        <w:spacing w:after="40" w:before="40"/>
      </w:pPr>
      <w:r>
        <w:rPr>
          <w:rFonts w:ascii="Arial" w:cs="Arial" w:eastAsia="Arial" w:hAnsi="Arial"/>
          <w:b/>
          <w:bCs/>
          <w:color w:val="1A1A1A"/>
          <w:sz w:val="22"/>
          <w:szCs w:val="22"/>
        </w:rPr>
        <w:t xml:space="preserve">el profesional muestra técnicas antes de que los usuarios las intenten, con entusiasmo y pasión.</w:t>
      </w:r>
      <w:r>
        <w:rPr>
          <w:rFonts w:ascii="Arial" w:cs="Arial" w:eastAsia="Arial" w:hAnsi="Arial"/>
          <w:color w:val="1A1A1A"/>
          <w:sz w:val="22"/>
          <w:szCs w:val="22"/>
        </w:rPr>
        <w:t xml:space="preserve">Demostraciones activas: </w:t>
      </w:r>
    </w:p>
    <w:p>
      <w:pPr>
        <w:pStyle w:val="Heading3"/>
        <w:spacing w:after="100" w:before="200"/>
      </w:pPr>
      <w:r>
        <w:rPr>
          <w:rFonts w:ascii="Arial" w:cs="Arial" w:eastAsia="Arial" w:hAnsi="Arial"/>
          <w:b/>
          <w:bCs/>
          <w:color w:val="1A1A1A"/>
          <w:sz w:val="24"/>
          <w:szCs w:val="24"/>
        </w:rPr>
        <w:t xml:space="preserve">6.10.4 Equitativas e Inclusivas</w:t>
      </w:r>
    </w:p>
    <w:p>
      <w:pPr>
        <w:spacing w:after="60" w:before="60"/>
        <w:jc w:val="left"/>
      </w:pPr>
      <w:r>
        <w:rPr>
          <w:rFonts w:ascii="Arial" w:cs="Arial" w:eastAsia="Arial" w:hAnsi="Arial"/>
          <w:b w:val="false"/>
          <w:bCs w:val="false"/>
          <w:i w:val="false"/>
          <w:iCs w:val="false"/>
          <w:color w:val="1A1A1A"/>
          <w:sz w:val="22"/>
          <w:szCs w:val="22"/>
        </w:rPr>
        <w:t xml:space="preserve">El profesional debe asegurar que todos puedan participar, competir y destacar independientemente de sus capacidades. Esto requiere equilibrar dos aspectos: los resultados del juego (evitar palizas) y la participación activa de todos (que cada uno encuentre su reto adecuado).</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Herramientas:</w:t>
      </w:r>
    </w:p>
    <w:p>
      <w:pPr>
        <w:pStyle w:val="ListParagraph"/>
        <w:numPr>
          <w:ilvl w:val="0"/>
          <w:numId w:val="2"/>
        </w:numPr>
        <w:spacing w:after="40" w:before="40"/>
      </w:pPr>
      <w:r>
        <w:rPr>
          <w:rFonts w:ascii="Arial" w:cs="Arial" w:eastAsia="Arial" w:hAnsi="Arial"/>
          <w:b/>
          <w:bCs/>
          <w:color w:val="1A1A1A"/>
          <w:sz w:val="22"/>
          <w:szCs w:val="22"/>
        </w:rPr>
        <w:t xml:space="preserve">se aplican sobre el equipo o persona en desventaja. Ejemplo: dar aletas al equipo más lento.</w:t>
      </w:r>
      <w:r>
        <w:rPr>
          <w:rFonts w:ascii="Arial" w:cs="Arial" w:eastAsia="Arial" w:hAnsi="Arial"/>
          <w:color w:val="1A1A1A"/>
          <w:sz w:val="22"/>
          <w:szCs w:val="22"/>
        </w:rPr>
        <w:t xml:space="preserve">Adaptaciones positivas: </w:t>
      </w:r>
    </w:p>
    <w:p>
      <w:pPr>
        <w:pStyle w:val="ListParagraph"/>
        <w:numPr>
          <w:ilvl w:val="0"/>
          <w:numId w:val="2"/>
        </w:numPr>
        <w:spacing w:after="40" w:before="40"/>
      </w:pPr>
      <w:r>
        <w:rPr>
          <w:rFonts w:ascii="Arial" w:cs="Arial" w:eastAsia="Arial" w:hAnsi="Arial"/>
          <w:b/>
          <w:bCs/>
          <w:color w:val="1A1A1A"/>
          <w:sz w:val="22"/>
          <w:szCs w:val="22"/>
        </w:rPr>
        <w:t xml:space="preserve">complicaciones aplicadas al equipo o persona con ventaja.</w:t>
      </w:r>
      <w:r>
        <w:rPr>
          <w:rFonts w:ascii="Arial" w:cs="Arial" w:eastAsia="Arial" w:hAnsi="Arial"/>
          <w:color w:val="1A1A1A"/>
          <w:sz w:val="22"/>
          <w:szCs w:val="22"/>
        </w:rPr>
        <w:t xml:space="preserve">Handicap: </w:t>
      </w:r>
    </w:p>
    <w:p>
      <w:pPr>
        <w:spacing w:after="40" w:before="40"/>
      </w:pPr>
      <w:r>
        <w:t xml:space="preserve"/>
      </w:r>
    </w:p>
    <w:p>
      <w:pPr>
        <w:pBdr>
          <w:left w:val="single" w:color="2E86C1" w:sz="6"/>
        </w:pBdr>
        <w:spacing w:after="80" w:before="80"/>
        <w:ind w:left="360"/>
      </w:pPr>
      <w:r>
        <w:rPr>
          <w:rFonts w:ascii="Arial" w:cs="Arial" w:eastAsia="Arial" w:hAnsi="Arial"/>
          <w:i/>
          <w:iCs/>
          <w:color w:val="555555"/>
          <w:sz w:val="20"/>
          <w:szCs w:val="20"/>
        </w:rPr>
        <w:t xml:space="preserve">NOTA: Estrategia para aplicar adaptaciones sin frustración: dejar la primera ronda sin adaptaciones para que el mejor equipo gane con claridad. Luego introducir el handicap al ganador de forma natural.</w:t>
      </w:r>
    </w:p>
    <w:p>
      <w:pPr>
        <w:pStyle w:val="Heading2"/>
        <w:spacing w:after="140" w:before="280"/>
      </w:pPr>
      <w:r>
        <w:rPr>
          <w:rFonts w:ascii="Arial" w:cs="Arial" w:eastAsia="Arial" w:hAnsi="Arial"/>
          <w:b/>
          <w:bCs/>
          <w:color w:val="2E86C1"/>
          <w:sz w:val="28"/>
          <w:szCs w:val="28"/>
        </w:rPr>
        <w:t xml:space="preserve">Tipos de sesiones en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228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w:t>
            </w:r>
          </w:p>
        </w:tc>
        <w:tc>
          <w:tcPr>
            <w:tcW w:type="dxa" w:w="428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Duración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Individual</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1:1</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 minutos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Parejas/hermanos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 minutos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Grupos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1:4 o 1:8</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45 minutos</w:t>
            </w:r>
          </w:p>
        </w:tc>
      </w:tr>
    </w:tbl>
    <w:p>
      <w:pPr>
        <w:spacing w:after="40" w:before="40"/>
      </w:pPr>
      <w:r>
        <w:t xml:space="preserve"/>
      </w:r>
    </w:p>
    <w:p>
      <w:pPr>
        <w:pBdr>
          <w:left w:val="single" w:color="2E86C1" w:sz="6"/>
        </w:pBdr>
        <w:spacing w:after="80" w:before="80"/>
        <w:ind w:left="360"/>
      </w:pPr>
      <w:r>
        <w:rPr>
          <w:rFonts w:ascii="Arial" w:cs="Arial" w:eastAsia="Arial" w:hAnsi="Arial"/>
          <w:i/>
          <w:iCs/>
          <w:color w:val="555555"/>
          <w:sz w:val="20"/>
          <w:szCs w:val="20"/>
        </w:rPr>
        <w:t xml:space="preserve">NOTA: Las sesiones individuales corresponden a perfiles con mayor nivel de discapacidad y mayores necesidades de soporte. Las grupales corresponden a perfiles con mayor autonomía.</w:t>
      </w:r>
    </w:p>
    <w:p>
      <w:pPr>
        <w:pStyle w:val="Heading2"/>
        <w:spacing w:after="140" w:before="280"/>
      </w:pPr>
      <w:r>
        <w:rPr>
          <w:rFonts w:ascii="Arial" w:cs="Arial" w:eastAsia="Arial" w:hAnsi="Arial"/>
          <w:b/>
          <w:bCs/>
          <w:color w:val="2E86C1"/>
          <w:sz w:val="28"/>
          <w:szCs w:val="28"/>
        </w:rPr>
        <w:t xml:space="preserve">Estructura general de las sesiones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c>
          <w:tcPr>
            <w:tcW w:type="dxa" w:w="43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Parte de la sesión</w:t>
            </w:r>
          </w:p>
        </w:tc>
        <w:tc>
          <w:tcPr>
            <w:tcW w:type="dxa" w:w="25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Sesión 30 min</w:t>
            </w:r>
          </w:p>
        </w:tc>
        <w:tc>
          <w:tcPr>
            <w:tcW w:type="dxa" w:w="25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Sesión 45 min</w:t>
            </w:r>
          </w:p>
        </w:tc>
      </w:tr>
      <w:tr>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PRECLASE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3 min</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5 min</w:t>
            </w:r>
          </w:p>
        </w:tc>
      </w:tr>
      <w:tr>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CALENTAMIENTO (Social + Físico)</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4 min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7 min</w:t>
            </w:r>
          </w:p>
        </w:tc>
      </w:tr>
      <w:tr>
        <w:tc>
          <w:tcPr>
            <w:tcW w:type="dxa" w:w="436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PARTE PRINCIPAL</w:t>
            </w:r>
          </w:p>
        </w:tc>
        <w:tc>
          <w:tcPr>
            <w:tcW w:type="dxa" w:w="25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12 min</w:t>
            </w:r>
          </w:p>
        </w:tc>
        <w:tc>
          <w:tcPr>
            <w:tcW w:type="dxa" w:w="25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20 min</w:t>
            </w:r>
          </w:p>
        </w:tc>
      </w:tr>
      <w:tr>
        <w:tc>
          <w:tcPr>
            <w:tcW w:type="dxa" w:w="4360"/>
            <w:tcBorders>
              <w:top w:val="single" w:color="DDDDDD" w:sz="1"/>
              <w:left w:val="single" w:color="DDDDDD" w:sz="1"/>
              <w:bottom w:val="single" w:color="DDDDDD" w:sz="1"/>
              <w:right w:val="single" w:color="DDDDDD" w:sz="1"/>
            </w:tcBorders>
            <w:shd w:fill="F9E79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JUEGO FINAL</w:t>
            </w:r>
          </w:p>
        </w:tc>
        <w:tc>
          <w:tcPr>
            <w:tcW w:type="dxa" w:w="2500"/>
            <w:tcBorders>
              <w:top w:val="single" w:color="DDDDDD" w:sz="1"/>
              <w:left w:val="single" w:color="DDDDDD" w:sz="1"/>
              <w:bottom w:val="single" w:color="DDDDDD" w:sz="1"/>
              <w:right w:val="single" w:color="DDDDDD" w:sz="1"/>
            </w:tcBorders>
            <w:shd w:fill="F9E79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8 min</w:t>
            </w:r>
          </w:p>
        </w:tc>
        <w:tc>
          <w:tcPr>
            <w:tcW w:type="dxa" w:w="2500"/>
            <w:tcBorders>
              <w:top w:val="single" w:color="DDDDDD" w:sz="1"/>
              <w:left w:val="single" w:color="DDDDDD" w:sz="1"/>
              <w:bottom w:val="single" w:color="DDDDDD" w:sz="1"/>
              <w:right w:val="single" w:color="DDDDDD" w:sz="1"/>
            </w:tcBorders>
            <w:shd w:fill="F9E79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10 min</w:t>
            </w:r>
          </w:p>
        </w:tc>
      </w:tr>
      <w:tr>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POSTCLASE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3 min</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3 min</w:t>
            </w:r>
          </w:p>
        </w:tc>
      </w:tr>
      <w:tr>
        <w:tc>
          <w:tcPr>
            <w:tcW w:type="dxa" w:w="4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w:t>
            </w:r>
          </w:p>
        </w:tc>
        <w:tc>
          <w:tcPr>
            <w:tcW w:type="dxa" w:w="25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30 min</w:t>
            </w:r>
          </w:p>
        </w:tc>
        <w:tc>
          <w:tcPr>
            <w:tcW w:type="dxa" w:w="25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45 min</w:t>
            </w:r>
          </w:p>
        </w:tc>
      </w:tr>
    </w:tbl>
    <w:p>
      <w:pPr>
        <w:pStyle w:val="Heading3"/>
        <w:spacing w:after="100" w:before="200"/>
      </w:pPr>
      <w:r>
        <w:rPr>
          <w:rFonts w:ascii="Arial" w:cs="Arial" w:eastAsia="Arial" w:hAnsi="Arial"/>
          <w:b/>
          <w:bCs/>
          <w:color w:val="1A1A1A"/>
          <w:sz w:val="24"/>
          <w:szCs w:val="24"/>
        </w:rPr>
        <w:t xml:space="preserve">PRECLASE</w:t>
      </w:r>
    </w:p>
    <w:p>
      <w:pPr>
        <w:spacing w:after="60" w:before="60"/>
        <w:jc w:val="left"/>
      </w:pPr>
      <w:r>
        <w:rPr>
          <w:rFonts w:ascii="Arial" w:cs="Arial" w:eastAsia="Arial" w:hAnsi="Arial"/>
          <w:b w:val="false"/>
          <w:bCs w:val="false"/>
          <w:i w:val="false"/>
          <w:iCs w:val="false"/>
          <w:color w:val="1A1A1A"/>
          <w:sz w:val="22"/>
          <w:szCs w:val="22"/>
        </w:rPr>
        <w:t xml:space="preserve">Desde la recepción en zona de espera hasta el inicio del calentamiento. Dos objetivos: fortalecer el vínculo con el familiar e introducir la experiencia Pegasus.</w:t>
      </w:r>
    </w:p>
    <w:p>
      <w:pPr>
        <w:pStyle w:val="ListParagraph"/>
        <w:numPr>
          <w:ilvl w:val="0"/>
          <w:numId w:val="2"/>
        </w:numPr>
        <w:spacing w:after="40" w:before="40"/>
      </w:pPr>
      <w:r>
        <w:rPr>
          <w:rFonts w:ascii="Arial" w:cs="Arial" w:eastAsia="Arial" w:hAnsi="Arial"/>
          <w:b/>
          <w:bCs/>
          <w:color w:val="1A1A1A"/>
          <w:sz w:val="22"/>
          <w:szCs w:val="22"/>
        </w:rPr>
        <w:t xml:space="preserve">El Saludo (Holi + Saludo Pegasus), La Pregunta (¿Qué tal?) y La Explicación (introducción temática de la sesión).</w:t>
      </w:r>
      <w:r>
        <w:rPr>
          <w:rFonts w:ascii="Arial" w:cs="Arial" w:eastAsia="Arial" w:hAnsi="Arial"/>
          <w:color w:val="1A1A1A"/>
          <w:sz w:val="22"/>
          <w:szCs w:val="22"/>
        </w:rPr>
        <w:t xml:space="preserve">La conversación/recepción: </w:t>
      </w:r>
    </w:p>
    <w:p>
      <w:pPr>
        <w:pStyle w:val="ListParagraph"/>
        <w:numPr>
          <w:ilvl w:val="0"/>
          <w:numId w:val="2"/>
        </w:numPr>
        <w:spacing w:after="40" w:before="40"/>
      </w:pPr>
      <w:r>
        <w:rPr>
          <w:rFonts w:ascii="Arial" w:cs="Arial" w:eastAsia="Arial" w:hAnsi="Arial"/>
          <w:b/>
          <w:bCs/>
          <w:color w:val="1A1A1A"/>
          <w:sz w:val="22"/>
          <w:szCs w:val="22"/>
        </w:rPr>
        <w:t xml:space="preserve">La Fila (con roles: locomotora, vagón cola, vagones), La Canción (seleccionada con fines educativos, el profesional canta y fomenta participación) y La Ducha propiamente dicha.</w:t>
      </w:r>
      <w:r>
        <w:rPr>
          <w:rFonts w:ascii="Arial" w:cs="Arial" w:eastAsia="Arial" w:hAnsi="Arial"/>
          <w:color w:val="1A1A1A"/>
          <w:sz w:val="22"/>
          <w:szCs w:val="22"/>
        </w:rPr>
        <w:t xml:space="preserve">La Ducha (solo sesiones grupales y de pareja): </w:t>
      </w:r>
    </w:p>
    <w:p>
      <w:pPr>
        <w:pStyle w:val="ListParagraph"/>
        <w:numPr>
          <w:ilvl w:val="0"/>
          <w:numId w:val="2"/>
        </w:numPr>
        <w:spacing w:after="40" w:before="40"/>
      </w:pPr>
      <w:r>
        <w:rPr>
          <w:rFonts w:ascii="Arial" w:cs="Arial" w:eastAsia="Arial" w:hAnsi="Arial"/>
          <w:b/>
          <w:bCs/>
          <w:color w:val="1A1A1A"/>
          <w:sz w:val="22"/>
          <w:szCs w:val="22"/>
        </w:rPr>
        <w:t xml:space="preserve">dejar chanclas, sentarse en la colchoneta con los pies en la piscina.</w:t>
      </w:r>
      <w:r>
        <w:rPr>
          <w:rFonts w:ascii="Arial" w:cs="Arial" w:eastAsia="Arial" w:hAnsi="Arial"/>
          <w:color w:val="1A1A1A"/>
          <w:sz w:val="22"/>
          <w:szCs w:val="22"/>
        </w:rPr>
        <w:t xml:space="preserve">Preparación al calentamiento: </w:t>
      </w:r>
    </w:p>
    <w:p>
      <w:pPr>
        <w:pStyle w:val="Heading3"/>
        <w:spacing w:after="100" w:before="200"/>
      </w:pPr>
      <w:r>
        <w:rPr>
          <w:rFonts w:ascii="Arial" w:cs="Arial" w:eastAsia="Arial" w:hAnsi="Arial"/>
          <w:b/>
          <w:bCs/>
          <w:color w:val="1A1A1A"/>
          <w:sz w:val="24"/>
          <w:szCs w:val="24"/>
        </w:rPr>
        <w:t xml:space="preserve">CALENTAMIENTO</w:t>
      </w:r>
    </w:p>
    <w:p>
      <w:pPr>
        <w:spacing w:after="60" w:before="60"/>
        <w:jc w:val="left"/>
      </w:pPr>
      <w:r>
        <w:rPr>
          <w:rFonts w:ascii="Arial" w:cs="Arial" w:eastAsia="Arial" w:hAnsi="Arial"/>
          <w:b w:val="false"/>
          <w:bCs w:val="false"/>
          <w:i w:val="false"/>
          <w:iCs w:val="false"/>
          <w:color w:val="1A1A1A"/>
          <w:sz w:val="22"/>
          <w:szCs w:val="22"/>
        </w:rPr>
        <w:t xml:space="preserve">Activación progresiva física y cognitiva.</w:t>
      </w:r>
    </w:p>
    <w:p>
      <w:pPr>
        <w:pStyle w:val="ListParagraph"/>
        <w:numPr>
          <w:ilvl w:val="0"/>
          <w:numId w:val="2"/>
        </w:numPr>
        <w:spacing w:after="40" w:before="40"/>
      </w:pPr>
      <w:r>
        <w:rPr>
          <w:rFonts w:ascii="Arial" w:cs="Arial" w:eastAsia="Arial" w:hAnsi="Arial"/>
          <w:b/>
          <w:bCs/>
          <w:color w:val="1A1A1A"/>
          <w:sz w:val="22"/>
          <w:szCs w:val="22"/>
        </w:rPr>
        <w:t xml:space="preserve">El Diálogo (pregunta abierta con "micro Pegasus"), El Resumen (anticipación de actividades) y *Presentación Pegasus (si hay miembro nuevo).</w:t>
      </w:r>
      <w:r>
        <w:rPr>
          <w:rFonts w:ascii="Arial" w:cs="Arial" w:eastAsia="Arial" w:hAnsi="Arial"/>
          <w:color w:val="1A1A1A"/>
          <w:sz w:val="22"/>
          <w:szCs w:val="22"/>
        </w:rPr>
        <w:t xml:space="preserve">Social: </w:t>
      </w:r>
    </w:p>
    <w:p>
      <w:pPr>
        <w:pStyle w:val="ListParagraph"/>
        <w:numPr>
          <w:ilvl w:val="0"/>
          <w:numId w:val="2"/>
        </w:numPr>
        <w:spacing w:after="40" w:before="40"/>
      </w:pPr>
      <w:r>
        <w:rPr>
          <w:rFonts w:ascii="Arial" w:cs="Arial" w:eastAsia="Arial" w:hAnsi="Arial"/>
          <w:b/>
          <w:bCs/>
          <w:color w:val="1A1A1A"/>
          <w:sz w:val="22"/>
          <w:szCs w:val="22"/>
        </w:rPr>
        <w:t xml:space="preserve">"¡Al agua patos!" — primer juego dentro del agua, activación aeróbica a través de elementos lúdicos (guerra de pelotas, tornado, roba colas, pilla pilla, araña peluda...). Nunca largos de natación convencional. Precedido por el "Momento bordillo" para perfiles de iniciación: familiarización con el medio acuático en el borde de la piscina.</w:t>
      </w:r>
      <w:r>
        <w:rPr>
          <w:rFonts w:ascii="Arial" w:cs="Arial" w:eastAsia="Arial" w:hAnsi="Arial"/>
          <w:color w:val="1A1A1A"/>
          <w:sz w:val="22"/>
          <w:szCs w:val="22"/>
        </w:rPr>
        <w:t xml:space="preserve">Físico: </w:t>
      </w:r>
    </w:p>
    <w:p>
      <w:pPr>
        <w:pStyle w:val="Heading3"/>
        <w:spacing w:after="100" w:before="200"/>
      </w:pPr>
      <w:r>
        <w:rPr>
          <w:rFonts w:ascii="Arial" w:cs="Arial" w:eastAsia="Arial" w:hAnsi="Arial"/>
          <w:b/>
          <w:bCs/>
          <w:color w:val="1A1A1A"/>
          <w:sz w:val="24"/>
          <w:szCs w:val="24"/>
        </w:rPr>
        <w:t xml:space="preserve">PARTE PRINCIPAL — Tres tipos</w:t>
      </w:r>
    </w:p>
    <w:p>
      <w:pPr>
        <w:pStyle w:val="ListParagraph"/>
        <w:numPr>
          <w:ilvl w:val="0"/>
          <w:numId w:val="2"/>
        </w:numPr>
        <w:spacing w:after="40" w:before="40"/>
      </w:pPr>
      <w:r>
        <w:rPr>
          <w:rFonts w:ascii="Arial" w:cs="Arial" w:eastAsia="Arial" w:hAnsi="Arial"/>
          <w:b/>
          <w:bCs/>
          <w:color w:val="1A1A1A"/>
          <w:sz w:val="22"/>
          <w:szCs w:val="22"/>
        </w:rPr>
        <w:t xml:space="preserve">misma lógica que en TPT: recoger y llevar elementos de zona A a zona B, camuflado en una historia. La Zona de Desplazamientos es donde se trabajan las progresiones deportivas. La Zona A (segura, colchoneta/borde) es donde ocurre el objetivo del juego. La Zona B contiene los elementos lúdicos.</w:t>
      </w:r>
      <w:r>
        <w:rPr>
          <w:rFonts w:ascii="Arial" w:cs="Arial" w:eastAsia="Arial" w:hAnsi="Arial"/>
          <w:color w:val="1A1A1A"/>
          <w:sz w:val="22"/>
          <w:szCs w:val="22"/>
        </w:rPr>
        <w:t xml:space="preserve">Gamificadas (A-B): </w:t>
      </w:r>
    </w:p>
    <w:p>
      <w:pPr>
        <w:pStyle w:val="ListParagraph"/>
        <w:numPr>
          <w:ilvl w:val="0"/>
          <w:numId w:val="2"/>
        </w:numPr>
        <w:spacing w:after="40" w:before="40"/>
      </w:pPr>
      <w:r>
        <w:rPr>
          <w:rFonts w:ascii="Arial" w:cs="Arial" w:eastAsia="Arial" w:hAnsi="Arial"/>
          <w:b/>
          <w:bCs/>
          <w:color w:val="1A1A1A"/>
          <w:sz w:val="22"/>
          <w:szCs w:val="22"/>
        </w:rPr>
        <w:t xml:space="preserve">sesiones enfocadas en los objetivos deportivos específicos. En PiscinaSUS se trabajan familiarización, estilos o acondicionamiento. Estructura: técnica estática (demostración y manipulación), técnica en movimiento (segmentación y estilo) y juego de velocidad (transferencia del aprendizaje técnico a la práctica lúdica).</w:t>
      </w:r>
      <w:r>
        <w:rPr>
          <w:rFonts w:ascii="Arial" w:cs="Arial" w:eastAsia="Arial" w:hAnsi="Arial"/>
          <w:color w:val="1A1A1A"/>
          <w:sz w:val="22"/>
          <w:szCs w:val="22"/>
        </w:rPr>
        <w:t xml:space="preserve">Técnicas: </w:t>
      </w:r>
    </w:p>
    <w:p>
      <w:pPr>
        <w:pStyle w:val="ListParagraph"/>
        <w:numPr>
          <w:ilvl w:val="0"/>
          <w:numId w:val="2"/>
        </w:numPr>
        <w:spacing w:after="40" w:before="40"/>
      </w:pPr>
      <w:r>
        <w:rPr>
          <w:rFonts w:ascii="Arial" w:cs="Arial" w:eastAsia="Arial" w:hAnsi="Arial"/>
          <w:b/>
          <w:bCs/>
          <w:color w:val="1A1A1A"/>
          <w:sz w:val="22"/>
          <w:szCs w:val="22"/>
        </w:rPr>
        <w:t xml:space="preserve">la modalidad más espectacular a nivel de material. Al menos 4 pruebas que combinan retos físicos y cognitivos. Dos partes: entrenamiento (adaptación a las pruebas) y competición (desarrollo del juego). El Profesor 1 está en la Zona A; el Profesor 2 se ubica en la prueba más exigente para garantizar seguridad y calidad.</w:t>
      </w:r>
      <w:r>
        <w:rPr>
          <w:rFonts w:ascii="Arial" w:cs="Arial" w:eastAsia="Arial" w:hAnsi="Arial"/>
          <w:color w:val="1A1A1A"/>
          <w:sz w:val="22"/>
          <w:szCs w:val="22"/>
        </w:rPr>
        <w:t xml:space="preserve">Circuitos: </w:t>
      </w:r>
    </w:p>
    <w:p>
      <w:pPr>
        <w:pStyle w:val="Heading3"/>
        <w:spacing w:after="100" w:before="200"/>
      </w:pPr>
      <w:r>
        <w:rPr>
          <w:rFonts w:ascii="Arial" w:cs="Arial" w:eastAsia="Arial" w:hAnsi="Arial"/>
          <w:b/>
          <w:bCs/>
          <w:color w:val="1A1A1A"/>
          <w:sz w:val="24"/>
          <w:szCs w:val="24"/>
        </w:rPr>
        <w:t xml:space="preserve">PARTE FINAL — Juego Final</w:t>
      </w:r>
    </w:p>
    <w:p>
      <w:pPr>
        <w:spacing w:after="60" w:before="60"/>
        <w:jc w:val="left"/>
      </w:pPr>
      <w:r>
        <w:rPr>
          <w:rFonts w:ascii="Arial" w:cs="Arial" w:eastAsia="Arial" w:hAnsi="Arial"/>
          <w:b w:val="false"/>
          <w:bCs w:val="false"/>
          <w:i w:val="false"/>
          <w:iCs w:val="false"/>
          <w:color w:val="1A1A1A"/>
          <w:sz w:val="22"/>
          <w:szCs w:val="22"/>
        </w:rPr>
        <w:t xml:space="preserve">El momento más loco y espectacular. Objetivo: DISFRUTE máximo. Puede presentarse como recompensa con opciones a elegir por los usuarios.</w:t>
      </w:r>
    </w:p>
    <w:p>
      <w:pPr>
        <w:pStyle w:val="ListParagraph"/>
        <w:numPr>
          <w:ilvl w:val="0"/>
          <w:numId w:val="2"/>
        </w:numPr>
        <w:spacing w:after="40" w:before="40"/>
      </w:pPr>
      <w:r>
        <w:rPr>
          <w:rFonts w:ascii="Arial" w:cs="Arial" w:eastAsia="Arial" w:hAnsi="Arial"/>
          <w:b/>
          <w:bCs/>
          <w:color w:val="1A1A1A"/>
          <w:sz w:val="22"/>
          <w:szCs w:val="22"/>
        </w:rPr>
        <w:t xml:space="preserve">pasarela de modelos, competiciones de saltos, tobogán, jugar con flotadores.</w:t>
      </w:r>
      <w:r>
        <w:rPr>
          <w:rFonts w:ascii="Arial" w:cs="Arial" w:eastAsia="Arial" w:hAnsi="Arial"/>
          <w:color w:val="1A1A1A"/>
          <w:sz w:val="22"/>
          <w:szCs w:val="22"/>
        </w:rPr>
        <w:t xml:space="preserve">Saltos, volteretas e inmersiones: </w:t>
      </w:r>
    </w:p>
    <w:p>
      <w:pPr>
        <w:pStyle w:val="ListParagraph"/>
        <w:numPr>
          <w:ilvl w:val="0"/>
          <w:numId w:val="2"/>
        </w:numPr>
        <w:spacing w:after="40" w:before="40"/>
      </w:pPr>
      <w:r>
        <w:rPr>
          <w:rFonts w:ascii="Arial" w:cs="Arial" w:eastAsia="Arial" w:hAnsi="Arial"/>
          <w:b/>
          <w:bCs/>
          <w:color w:val="1A1A1A"/>
          <w:sz w:val="22"/>
          <w:szCs w:val="22"/>
        </w:rPr>
        <w:t xml:space="preserve">waterpolo, baloncesto, volley, balón prisionero, asalto al castillo, atrapa la bandera.</w:t>
      </w:r>
      <w:r>
        <w:rPr>
          <w:rFonts w:ascii="Arial" w:cs="Arial" w:eastAsia="Arial" w:hAnsi="Arial"/>
          <w:color w:val="1A1A1A"/>
          <w:sz w:val="22"/>
          <w:szCs w:val="22"/>
        </w:rPr>
        <w:t xml:space="preserve">Deportivos/reglados: </w:t>
      </w:r>
    </w:p>
    <w:p>
      <w:pPr>
        <w:pStyle w:val="ListParagraph"/>
        <w:numPr>
          <w:ilvl w:val="0"/>
          <w:numId w:val="2"/>
        </w:numPr>
        <w:spacing w:after="40" w:before="40"/>
      </w:pPr>
      <w:r>
        <w:rPr>
          <w:rFonts w:ascii="Arial" w:cs="Arial" w:eastAsia="Arial" w:hAnsi="Arial"/>
          <w:b/>
          <w:bCs/>
          <w:color w:val="1A1A1A"/>
          <w:sz w:val="22"/>
          <w:szCs w:val="22"/>
        </w:rPr>
        <w:t xml:space="preserve">cuando la parte principal tiene tres fases, la resolución épica se produce en el juego final (ej: "La Batalla Mundial").</w:t>
      </w:r>
      <w:r>
        <w:rPr>
          <w:rFonts w:ascii="Arial" w:cs="Arial" w:eastAsia="Arial" w:hAnsi="Arial"/>
          <w:color w:val="1A1A1A"/>
          <w:sz w:val="22"/>
          <w:szCs w:val="22"/>
        </w:rPr>
        <w:t xml:space="preserve">Resolución de parte principal: </w:t>
      </w:r>
    </w:p>
    <w:p>
      <w:pPr>
        <w:spacing w:after="60" w:before="60"/>
        <w:jc w:val="left"/>
      </w:pPr>
      <w:r>
        <w:rPr>
          <w:rFonts w:ascii="Arial" w:cs="Arial" w:eastAsia="Arial" w:hAnsi="Arial"/>
          <w:b w:val="false"/>
          <w:bCs w:val="false"/>
          <w:i w:val="false"/>
          <w:iCs w:val="false"/>
          <w:color w:val="1A1A1A"/>
          <w:sz w:val="22"/>
          <w:szCs w:val="22"/>
        </w:rPr>
        <w:t xml:space="preserve">Cierre: vuelta al "Círculo de nadadores" para la conclusión. Momento de vuelta a la calma y recuerdo de los aprendizajes de la sesión (físico, emocional, pedagógico).</w:t>
      </w:r>
    </w:p>
    <w:p>
      <w:pPr>
        <w:pStyle w:val="Heading3"/>
        <w:spacing w:after="100" w:before="200"/>
      </w:pPr>
      <w:r>
        <w:rPr>
          <w:rFonts w:ascii="Arial" w:cs="Arial" w:eastAsia="Arial" w:hAnsi="Arial"/>
          <w:b/>
          <w:bCs/>
          <w:color w:val="1A1A1A"/>
          <w:sz w:val="24"/>
          <w:szCs w:val="24"/>
        </w:rPr>
        <w:t xml:space="preserve">POSTCLASE</w:t>
      </w:r>
    </w:p>
    <w:p>
      <w:pPr>
        <w:spacing w:after="60" w:before="60"/>
        <w:jc w:val="left"/>
      </w:pPr>
      <w:r>
        <w:rPr>
          <w:rFonts w:ascii="Arial" w:cs="Arial" w:eastAsia="Arial" w:hAnsi="Arial"/>
          <w:b w:val="false"/>
          <w:bCs w:val="false"/>
          <w:i w:val="false"/>
          <w:iCs w:val="false"/>
          <w:color w:val="1A1A1A"/>
          <w:sz w:val="22"/>
          <w:szCs w:val="22"/>
        </w:rPr>
        <w:t xml:space="preserve">Preparación a la salida: organizar el material en equipo antes de salir del agua. La Fila: recogida de chanclas, gafas y toallas con la canción de la semana. Conversación/Devolución con las familias: resumen de los mejores momentos, deberes si procede, y cierre con el eslogan: "¡Lo mío no es normal... pero lo tuyo TAMPOCO!"</w:t>
      </w:r>
    </w:p>
    <w:p>
      <w:pPr>
        <w:pStyle w:val="Heading2"/>
        <w:spacing w:after="140" w:before="280"/>
      </w:pPr>
      <w:r>
        <w:rPr>
          <w:rFonts w:ascii="Arial" w:cs="Arial" w:eastAsia="Arial" w:hAnsi="Arial"/>
          <w:b/>
          <w:bCs/>
          <w:color w:val="2E86C1"/>
          <w:sz w:val="28"/>
          <w:szCs w:val="28"/>
        </w:rPr>
        <w:t xml:space="preserve">Triaje de usuarios en IS</w:t>
      </w:r>
    </w:p>
    <w:p>
      <w:pPr>
        <w:spacing w:after="60" w:before="60"/>
        <w:jc w:val="left"/>
      </w:pPr>
      <w:r>
        <w:rPr>
          <w:rFonts w:ascii="Arial" w:cs="Arial" w:eastAsia="Arial" w:hAnsi="Arial"/>
          <w:b w:val="false"/>
          <w:bCs w:val="false"/>
          <w:i w:val="false"/>
          <w:iCs w:val="false"/>
          <w:color w:val="1A1A1A"/>
          <w:sz w:val="22"/>
          <w:szCs w:val="22"/>
        </w:rPr>
        <w:t xml:space="preserve">IS utiliza el mismo sistema de triaje que TPT (ver apartado 5.19) con una diferencia fundamental: la autonomía física se mide en el medio acuático (no en sala). Los niveles de autonomía son Dependiente, Semidependiente y Autónomo en el agua. Esto determina las adaptaciones técnicas necesarias (manipulación directa, indirecta o parte activa) y el ratio de sesión adecuado.</w:t>
      </w:r>
    </w:p>
    <w:p>
      <w:r>
        <w:br w:type="page"/>
      </w:r>
    </w:p>
    <w:p>
      <w:pPr>
        <w:pStyle w:val="Heading1"/>
        <w:pBdr>
          <w:bottom w:val="single" w:color="7B2FBE" w:sz="4"/>
        </w:pBdr>
        <w:spacing w:after="200" w:before="400"/>
      </w:pPr>
      <w:r>
        <w:rPr>
          <w:rFonts w:ascii="Arial" w:cs="Arial" w:eastAsia="Arial" w:hAnsi="Arial"/>
          <w:b/>
          <w:bCs/>
          <w:color w:val="7B2FBE"/>
          <w:sz w:val="36"/>
          <w:szCs w:val="36"/>
        </w:rPr>
        <w:t xml:space="preserve">7. INDIFERENTE: CONSULTORÍA DE DIVERSIDAD E INCLUSIÓN</w:t>
      </w:r>
    </w:p>
    <w:p>
      <w:pPr>
        <w:pStyle w:val="Heading2"/>
        <w:spacing w:after="140" w:before="280"/>
      </w:pPr>
      <w:r>
        <w:rPr>
          <w:rFonts w:ascii="Arial" w:cs="Arial" w:eastAsia="Arial" w:hAnsi="Arial"/>
          <w:b/>
          <w:bCs/>
          <w:color w:val="2E86C1"/>
          <w:sz w:val="28"/>
          <w:szCs w:val="28"/>
        </w:rPr>
        <w:t xml:space="preserve">7.1 Por qué existe Indiferente</w:t>
      </w:r>
    </w:p>
    <w:p>
      <w:pPr>
        <w:spacing w:after="60" w:before="60"/>
        <w:jc w:val="left"/>
      </w:pPr>
      <w:r>
        <w:rPr>
          <w:rFonts w:ascii="Arial" w:cs="Arial" w:eastAsia="Arial" w:hAnsi="Arial"/>
          <w:b w:val="false"/>
          <w:bCs w:val="false"/>
          <w:i w:val="false"/>
          <w:iCs w:val="false"/>
          <w:color w:val="1A1A1A"/>
          <w:sz w:val="22"/>
          <w:szCs w:val="22"/>
        </w:rPr>
        <w:t xml:space="preserve">Indiferente nace de una decisión estratégica y filosófica: Pegasus no acepta donativos ni voluntariado. Para financiar su misión social sin depender de donaciones, necesitaba crear un servicio de valor real que el mercado estuviera dispuesto a pagar.</w:t>
      </w:r>
    </w:p>
    <w:p>
      <w:pPr>
        <w:spacing w:after="120" w:before="120"/>
        <w:ind w:left="720"/>
      </w:pPr>
      <w:r>
        <w:rPr>
          <w:rFonts w:ascii="Arial" w:cs="Arial" w:eastAsia="Arial" w:hAnsi="Arial"/>
          <w:b/>
          <w:bCs/>
          <w:i/>
          <w:iCs/>
          <w:color w:val="7B2FBE"/>
          <w:sz w:val="22"/>
          <w:szCs w:val="22"/>
        </w:rPr>
        <w:t xml:space="preserve">"El mismo miedo que limita a una persona, también puede limitar a una organización. Indiferente ayuda a las empresas a transformar su cultura desde dentro: pasando del miedo a la autenticidad, de la norma al comportamiento, y del discurso a la experiencia real."</w:t>
      </w:r>
    </w:p>
    <w:p>
      <w:pPr>
        <w:spacing w:after="60" w:before="60"/>
        <w:jc w:val="left"/>
      </w:pPr>
      <w:r>
        <w:rPr>
          <w:rFonts w:ascii="Arial" w:cs="Arial" w:eastAsia="Arial" w:hAnsi="Arial"/>
          <w:b w:val="false"/>
          <w:bCs w:val="false"/>
          <w:i w:val="false"/>
          <w:iCs w:val="false"/>
          <w:color w:val="1A1A1A"/>
          <w:sz w:val="22"/>
          <w:szCs w:val="22"/>
        </w:rPr>
        <w:t xml:space="preserve">El nombre 'Indiferente' es una provocación conceptual: no significa que la organización sea indiferente a la diversidad. Significa que aspira a una sociedad donde la diferencia sea tan normal que nos resulte indiferente.</w:t>
      </w:r>
    </w:p>
    <w:p>
      <w:pPr>
        <w:pStyle w:val="Heading2"/>
        <w:spacing w:after="140" w:before="280"/>
      </w:pPr>
      <w:r>
        <w:rPr>
          <w:rFonts w:ascii="Arial" w:cs="Arial" w:eastAsia="Arial" w:hAnsi="Arial"/>
          <w:b/>
          <w:bCs/>
          <w:color w:val="2E86C1"/>
          <w:sz w:val="28"/>
          <w:szCs w:val="28"/>
        </w:rPr>
        <w:t xml:space="preserve">7.2 Diferencial de Indiferente respecto al mercado</w:t>
      </w:r>
    </w:p>
    <w:p>
      <w:pPr>
        <w:spacing w:after="60" w:before="60"/>
        <w:jc w:val="left"/>
      </w:pPr>
      <w:r>
        <w:rPr>
          <w:rFonts w:ascii="Arial" w:cs="Arial" w:eastAsia="Arial" w:hAnsi="Arial"/>
          <w:b w:val="false"/>
          <w:bCs w:val="false"/>
          <w:i w:val="false"/>
          <w:iCs w:val="false"/>
          <w:color w:val="1A1A1A"/>
          <w:sz w:val="22"/>
          <w:szCs w:val="22"/>
        </w:rPr>
        <w:t xml:space="preserve">Indiferente aborda la diversidad desde la emocionalidad. Su diferencial es la metodología que combina Inteligencia Emocional + Juego + Humor para que el aprendizaje no se memorice sino se sienta. Ninguna otra consultora del mercado aborda la diversidad desde este paradigma emocional. Adicionalmente, detrás de Indiferente está Fundación Pegasus, lo que le aporta credibilidad vivencial: cada euro de Indiferente financia directamente terapias y deporte inclusivo.</w:t>
      </w:r>
    </w:p>
    <w:p>
      <w:pPr>
        <w:pStyle w:val="Heading2"/>
        <w:spacing w:after="140" w:before="280"/>
      </w:pPr>
      <w:r>
        <w:rPr>
          <w:rFonts w:ascii="Arial" w:cs="Arial" w:eastAsia="Arial" w:hAnsi="Arial"/>
          <w:b/>
          <w:bCs/>
          <w:color w:val="2E86C1"/>
          <w:sz w:val="28"/>
          <w:szCs w:val="28"/>
        </w:rPr>
        <w:t xml:space="preserve">7.3 Clientes y segmentos</w:t>
      </w:r>
    </w:p>
    <w:p>
      <w:pPr>
        <w:pStyle w:val="Heading3"/>
        <w:spacing w:after="100" w:before="200"/>
      </w:pPr>
      <w:r>
        <w:rPr>
          <w:rFonts w:ascii="Arial" w:cs="Arial" w:eastAsia="Arial" w:hAnsi="Arial"/>
          <w:b/>
          <w:bCs/>
          <w:color w:val="1A1A1A"/>
          <w:sz w:val="24"/>
          <w:szCs w:val="24"/>
        </w:rPr>
        <w:t xml:space="preserve">Empresas privadas</w:t>
      </w:r>
    </w:p>
    <w:p>
      <w:pPr>
        <w:spacing w:after="60" w:before="60"/>
        <w:jc w:val="left"/>
      </w:pPr>
      <w:r>
        <w:rPr>
          <w:rFonts w:ascii="Arial" w:cs="Arial" w:eastAsia="Arial" w:hAnsi="Arial"/>
          <w:b w:val="false"/>
          <w:bCs w:val="false"/>
          <w:i w:val="false"/>
          <w:iCs w:val="false"/>
          <w:color w:val="1A1A1A"/>
          <w:sz w:val="22"/>
          <w:szCs w:val="22"/>
        </w:rPr>
        <w:t xml:space="preserve">Empresas que quieren trabajar su cultura de D&amp;I, cumplir con obligaciones legales (2% de contratos con personas con discapacidad en empresas de más de 50 trabajadores) o desarrollar sus valores corporativos de forma genuina. Clientes de referencia: Santander, PepsiCo, Sprinter, LATAM, Cepsa, Leroy Merlin, Endesa, Iberdrola.</w:t>
      </w:r>
    </w:p>
    <w:p>
      <w:pPr>
        <w:pStyle w:val="Heading3"/>
        <w:spacing w:after="100" w:before="200"/>
      </w:pPr>
      <w:r>
        <w:rPr>
          <w:rFonts w:ascii="Arial" w:cs="Arial" w:eastAsia="Arial" w:hAnsi="Arial"/>
          <w:b/>
          <w:bCs/>
          <w:color w:val="1A1A1A"/>
          <w:sz w:val="24"/>
          <w:szCs w:val="24"/>
        </w:rPr>
        <w:t xml:space="preserve">Administraciones Públicas y Ayuntamientos</w:t>
      </w:r>
    </w:p>
    <w:p>
      <w:pPr>
        <w:spacing w:after="60" w:before="60"/>
        <w:jc w:val="left"/>
      </w:pPr>
      <w:r>
        <w:rPr>
          <w:rFonts w:ascii="Arial" w:cs="Arial" w:eastAsia="Arial" w:hAnsi="Arial"/>
          <w:b w:val="false"/>
          <w:bCs w:val="false"/>
          <w:i w:val="false"/>
          <w:iCs w:val="false"/>
          <w:color w:val="1A1A1A"/>
          <w:sz w:val="22"/>
          <w:szCs w:val="22"/>
        </w:rPr>
        <w:t xml:space="preserve">Municipios que quieren diseñar planes de inclusión, campañas de comunicación institucional, formaciones para equipos o actividades de deporte inclusivo. Clientes de referencia: FMM, Comunidad de Madrid, Torrejón de Ardoz, San Agustín de Guadalix, Tres Cantos, Paracuellos del Jarama.</w:t>
      </w:r>
    </w:p>
    <w:p>
      <w:pPr>
        <w:pStyle w:val="Heading2"/>
        <w:spacing w:after="140" w:before="280"/>
      </w:pPr>
      <w:r>
        <w:rPr>
          <w:rFonts w:ascii="Arial" w:cs="Arial" w:eastAsia="Arial" w:hAnsi="Arial"/>
          <w:b/>
          <w:bCs/>
          <w:color w:val="2E86C1"/>
          <w:sz w:val="28"/>
          <w:szCs w:val="28"/>
        </w:rPr>
        <w:t xml:space="preserve">7.4 Servicios para empresas</w:t>
      </w:r>
    </w:p>
    <w:p>
      <w:pPr>
        <w:pStyle w:val="Heading3"/>
        <w:spacing w:after="100" w:before="200"/>
      </w:pPr>
      <w:r>
        <w:rPr>
          <w:rFonts w:ascii="Arial" w:cs="Arial" w:eastAsia="Arial" w:hAnsi="Arial"/>
          <w:b/>
          <w:bCs/>
          <w:color w:val="1A1A1A"/>
          <w:sz w:val="24"/>
          <w:szCs w:val="24"/>
        </w:rPr>
        <w:t xml:space="preserve">A. Consultoría en Diversidad e Inclusión</w:t>
      </w:r>
    </w:p>
    <w:p>
      <w:pPr>
        <w:spacing w:after="60" w:before="60"/>
        <w:jc w:val="left"/>
      </w:pPr>
      <w:r>
        <w:rPr>
          <w:rFonts w:ascii="Arial" w:cs="Arial" w:eastAsia="Arial" w:hAnsi="Arial"/>
          <w:b w:val="false"/>
          <w:bCs w:val="false"/>
          <w:i w:val="false"/>
          <w:iCs w:val="false"/>
          <w:color w:val="1A1A1A"/>
          <w:sz w:val="22"/>
          <w:szCs w:val="22"/>
        </w:rPr>
        <w:t xml:space="preserve">Proceso en tres fases: Diagnóstico y escucha → Diseño de plan de acción → Implementación. Trabajos realizados: creación de ERGs, procesos de selección inclusivos, onboarding inclusivo, sensibilización y formación, políticas de promoción interna equitativas.</w:t>
      </w:r>
    </w:p>
    <w:p>
      <w:pPr>
        <w:pStyle w:val="Heading3"/>
        <w:spacing w:after="100" w:before="200"/>
      </w:pPr>
      <w:r>
        <w:rPr>
          <w:rFonts w:ascii="Arial" w:cs="Arial" w:eastAsia="Arial" w:hAnsi="Arial"/>
          <w:b/>
          <w:bCs/>
          <w:color w:val="1A1A1A"/>
          <w:sz w:val="24"/>
          <w:szCs w:val="24"/>
        </w:rPr>
        <w:t xml:space="preserve">B. Formación y Desarrollo</w:t>
      </w:r>
    </w:p>
    <w:p>
      <w:pPr>
        <w:pStyle w:val="ListParagraph"/>
        <w:numPr>
          <w:ilvl w:val="0"/>
          <w:numId w:val="2"/>
        </w:numPr>
        <w:spacing w:after="40" w:before="40"/>
      </w:pPr>
      <w:r>
        <w:rPr>
          <w:rFonts w:ascii="Arial" w:cs="Arial" w:eastAsia="Arial" w:hAnsi="Arial"/>
          <w:color w:val="1A1A1A"/>
          <w:sz w:val="22"/>
          <w:szCs w:val="22"/>
        </w:rPr>
        <w:t xml:space="preserve">Conferencia de David Rodríguez (7.000€, todo a la fundación).</w:t>
      </w:r>
    </w:p>
    <w:p>
      <w:pPr>
        <w:pStyle w:val="ListParagraph"/>
        <w:numPr>
          <w:ilvl w:val="0"/>
          <w:numId w:val="2"/>
        </w:numPr>
        <w:spacing w:after="40" w:before="40"/>
      </w:pPr>
      <w:r>
        <w:rPr>
          <w:rFonts w:ascii="Arial" w:cs="Arial" w:eastAsia="Arial" w:hAnsi="Arial"/>
          <w:color w:val="1A1A1A"/>
          <w:sz w:val="22"/>
          <w:szCs w:val="22"/>
        </w:rPr>
        <w:t xml:space="preserve">Formación en Sesgos Inconscientes: experiencia vivencial de 1 hora presencial o híbrida, grupos hasta 25 personas.</w:t>
      </w:r>
    </w:p>
    <w:p>
      <w:pPr>
        <w:pStyle w:val="ListParagraph"/>
        <w:numPr>
          <w:ilvl w:val="0"/>
          <w:numId w:val="2"/>
        </w:numPr>
        <w:spacing w:after="40" w:before="40"/>
      </w:pPr>
      <w:r>
        <w:rPr>
          <w:rFonts w:ascii="Arial" w:cs="Arial" w:eastAsia="Arial" w:hAnsi="Arial"/>
          <w:color w:val="1A1A1A"/>
          <w:sz w:val="22"/>
          <w:szCs w:val="22"/>
        </w:rPr>
        <w:t xml:space="preserve">Formación en Resolución de Conflictos: dinámica con "efecto caballo de Troya", 1 hora.</w:t>
      </w:r>
    </w:p>
    <w:p>
      <w:pPr>
        <w:pStyle w:val="ListParagraph"/>
        <w:numPr>
          <w:ilvl w:val="0"/>
          <w:numId w:val="2"/>
        </w:numPr>
        <w:spacing w:after="40" w:before="40"/>
      </w:pPr>
      <w:r>
        <w:rPr>
          <w:rFonts w:ascii="Arial" w:cs="Arial" w:eastAsia="Arial" w:hAnsi="Arial"/>
          <w:color w:val="1A1A1A"/>
          <w:sz w:val="22"/>
          <w:szCs w:val="22"/>
        </w:rPr>
        <w:t xml:space="preserve">E-learning "El Nuevo Paradigma de la Discapacidad": 100% online, compatible con plataformas SCORM. También e-learnings a medida.</w:t>
      </w:r>
    </w:p>
    <w:p>
      <w:pPr>
        <w:pStyle w:val="Heading3"/>
        <w:spacing w:after="100" w:before="200"/>
      </w:pPr>
      <w:r>
        <w:rPr>
          <w:rFonts w:ascii="Arial" w:cs="Arial" w:eastAsia="Arial" w:hAnsi="Arial"/>
          <w:b/>
          <w:bCs/>
          <w:color w:val="1A1A1A"/>
          <w:sz w:val="24"/>
          <w:szCs w:val="24"/>
        </w:rPr>
        <w:t xml:space="preserve">C. Comunicación y Sensibilización</w:t>
      </w:r>
    </w:p>
    <w:p>
      <w:pPr>
        <w:spacing w:after="60" w:before="60"/>
        <w:jc w:val="left"/>
      </w:pPr>
      <w:r>
        <w:rPr>
          <w:rFonts w:ascii="Arial" w:cs="Arial" w:eastAsia="Arial" w:hAnsi="Arial"/>
          <w:b w:val="false"/>
          <w:bCs w:val="false"/>
          <w:i w:val="false"/>
          <w:iCs w:val="false"/>
          <w:color w:val="1A1A1A"/>
          <w:sz w:val="22"/>
          <w:szCs w:val="22"/>
        </w:rPr>
        <w:t xml:space="preserve">Diseño de campañas, narrativas y eventos. Ejemplos: Semana de la Diversidad, campañas del 3 de diciembre, comunicación de marca empleadora inclusiva.</w:t>
      </w:r>
    </w:p>
    <w:p>
      <w:pPr>
        <w:pStyle w:val="Heading3"/>
        <w:spacing w:after="100" w:before="200"/>
      </w:pPr>
      <w:r>
        <w:rPr>
          <w:rFonts w:ascii="Arial" w:cs="Arial" w:eastAsia="Arial" w:hAnsi="Arial"/>
          <w:b/>
          <w:bCs/>
          <w:color w:val="1A1A1A"/>
          <w:sz w:val="24"/>
          <w:szCs w:val="24"/>
        </w:rPr>
        <w:t xml:space="preserve">D. Plan Bienestar Corporativo</w:t>
      </w:r>
    </w:p>
    <w:p>
      <w:pPr>
        <w:spacing w:after="60" w:before="60"/>
        <w:jc w:val="left"/>
      </w:pPr>
      <w:r>
        <w:rPr>
          <w:rFonts w:ascii="Arial" w:cs="Arial" w:eastAsia="Arial" w:hAnsi="Arial"/>
          <w:b w:val="false"/>
          <w:bCs w:val="false"/>
          <w:i w:val="false"/>
          <w:iCs w:val="false"/>
          <w:color w:val="1A1A1A"/>
          <w:sz w:val="22"/>
          <w:szCs w:val="22"/>
        </w:rPr>
        <w:t xml:space="preserve">La empresa contrata un plan anual de bienestar emocional para empleados. Sesiones individuales online con psicólogos de Pegasus, coste compartido empresa-trabajador. En fase de diseño/MVP, pendiente de lanzamiento.</w:t>
      </w:r>
    </w:p>
    <w:p>
      <w:pPr>
        <w:pStyle w:val="Heading2"/>
        <w:spacing w:after="140" w:before="280"/>
      </w:pPr>
      <w:r>
        <w:rPr>
          <w:rFonts w:ascii="Arial" w:cs="Arial" w:eastAsia="Arial" w:hAnsi="Arial"/>
          <w:b/>
          <w:bCs/>
          <w:color w:val="2E86C1"/>
          <w:sz w:val="28"/>
          <w:szCs w:val="28"/>
        </w:rPr>
        <w:t xml:space="preserve">7.5 Servicios para ayuntamientos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Concejalía</w:t>
            </w:r>
          </w:p>
        </w:tc>
        <w:tc>
          <w:tcPr>
            <w:tcW w:type="dxa" w:w="65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Servicios principales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Servicios Sociales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TPT, ocio inclusivo, campamentos inclusivos, talleres emocionales para familias.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Deportes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PiscinaSUS, fútbol inclusivo, multideporte, eventos deportivos inclusivos.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Igualdad, Diversidad y Familia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Planes municipales de discapacidad, campañas comunicación institucional, formaciones.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Educación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Programas educativos de sensibilización, conferencias de David Rodríguez.</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Cultura y Festejos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Restauración inclusiva Pegasus × Black Bull para eventos municipales.</w:t>
            </w:r>
          </w:p>
        </w:tc>
      </w:tr>
    </w:tbl>
    <w:p>
      <w:pPr>
        <w:pStyle w:val="Heading2"/>
        <w:spacing w:after="140" w:before="280"/>
      </w:pPr>
      <w:r>
        <w:rPr>
          <w:rFonts w:ascii="Arial" w:cs="Arial" w:eastAsia="Arial" w:hAnsi="Arial"/>
          <w:b/>
          <w:bCs/>
          <w:color w:val="2E86C1"/>
          <w:sz w:val="28"/>
          <w:szCs w:val="28"/>
        </w:rPr>
        <w:t xml:space="preserve">7.6 Resultados financieros y reto de recurrencia</w:t>
      </w:r>
    </w:p>
    <w:p>
      <w:pPr>
        <w:spacing w:after="60" w:before="60"/>
        <w:jc w:val="left"/>
      </w:pPr>
      <w:r>
        <w:rPr>
          <w:rFonts w:ascii="Arial" w:cs="Arial" w:eastAsia="Arial" w:hAnsi="Arial"/>
          <w:b w:val="false"/>
          <w:bCs w:val="false"/>
          <w:i w:val="false"/>
          <w:iCs w:val="false"/>
          <w:color w:val="1A1A1A"/>
          <w:sz w:val="22"/>
          <w:szCs w:val="22"/>
        </w:rPr>
        <w:t xml:space="preserve">Indiferente facturó 234.430€ en 2025 (-9% vs 2024, consecuencia de un reposicionamiento deliberado hacia el canal institucional). El presupuesto 2026 es de 626.346€ (+167% vs 2025), con dos grandes contratos como motores: FMM (210.600€, 33,6%) y Comunidad de Madrid (150.000€, 23,9%).</w:t>
      </w:r>
    </w:p>
    <w:p>
      <w:pPr>
        <w:spacing w:after="40" w:before="40"/>
      </w:pPr>
      <w:r>
        <w:t xml:space="preserve"/>
      </w:r>
    </w:p>
    <w:p>
      <w:pPr>
        <w:spacing w:after="60" w:before="60"/>
        <w:jc w:val="left"/>
      </w:pPr>
      <w:r>
        <w:rPr>
          <w:rFonts w:ascii="Arial" w:cs="Arial" w:eastAsia="Arial" w:hAnsi="Arial"/>
          <w:b w:val="false"/>
          <w:bCs w:val="false"/>
          <w:i w:val="false"/>
          <w:iCs w:val="false"/>
          <w:color w:val="1A1A1A"/>
          <w:sz w:val="22"/>
          <w:szCs w:val="22"/>
        </w:rPr>
        <w:t xml:space="preserve">El principal reto estructural es la ausencia de ingresos recurrentes. El Plan Bienestar Corporativo es el intento más articulado de resolver este problema, pero aún no tiene MVP lanzado.</w:t>
      </w:r>
    </w:p>
    <w:p>
      <w:pPr>
        <w:pStyle w:val="Heading2"/>
        <w:spacing w:after="140" w:before="280"/>
      </w:pPr>
      <w:r>
        <w:rPr>
          <w:rFonts w:ascii="Arial" w:cs="Arial" w:eastAsia="Arial" w:hAnsi="Arial"/>
          <w:b/>
          <w:bCs/>
          <w:color w:val="2E86C1"/>
          <w:sz w:val="28"/>
          <w:szCs w:val="28"/>
        </w:rPr>
        <w:t xml:space="preserve">7.7 El caso Santander: referencia de escala</w:t>
      </w:r>
    </w:p>
    <w:p>
      <w:pPr>
        <w:spacing w:after="60" w:before="60"/>
        <w:jc w:val="left"/>
      </w:pPr>
      <w:r>
        <w:rPr>
          <w:rFonts w:ascii="Arial" w:cs="Arial" w:eastAsia="Arial" w:hAnsi="Arial"/>
          <w:b w:val="false"/>
          <w:bCs w:val="false"/>
          <w:i w:val="false"/>
          <w:iCs w:val="false"/>
          <w:color w:val="1A1A1A"/>
          <w:sz w:val="22"/>
          <w:szCs w:val="22"/>
        </w:rPr>
        <w:t xml:space="preserve">El proyecto 'Inigualables' con el Banco Santander es el caso de éxito más significativo. El reto era que toda la plantilla pudiera ser ella misma en el trabajo. La implementación se estructuró en tres niveles: Alta Dirección (conferencias presenciales de David), Mandos Intermedios (conferencias online) y Resto de la plantilla (~40.000 empleados, e-learning co-creado 'Inigualables'). El aprendizaje central: cuando baja el miedo, sube la autenticidad. Y la cultura cambia.</w:t>
      </w:r>
    </w:p>
    <w:p>
      <w:r>
        <w:br w:type="page"/>
      </w:r>
    </w:p>
    <w:p>
      <w:pPr>
        <w:pStyle w:val="Heading1"/>
        <w:pBdr>
          <w:bottom w:val="single" w:color="7B2FBE" w:sz="4"/>
        </w:pBdr>
        <w:spacing w:after="200" w:before="400"/>
      </w:pPr>
      <w:r>
        <w:rPr>
          <w:rFonts w:ascii="Arial" w:cs="Arial" w:eastAsia="Arial" w:hAnsi="Arial"/>
          <w:b/>
          <w:bCs/>
          <w:color w:val="7B2FBE"/>
          <w:sz w:val="36"/>
          <w:szCs w:val="36"/>
        </w:rPr>
        <w:t xml:space="preserve">8. ÚNETE AL FLOW / RESTAURACIÓN INCLUSIVA</w:t>
      </w:r>
    </w:p>
    <w:p>
      <w:pPr>
        <w:pStyle w:val="Heading2"/>
        <w:spacing w:after="140" w:before="280"/>
      </w:pPr>
      <w:r>
        <w:rPr>
          <w:rFonts w:ascii="Arial" w:cs="Arial" w:eastAsia="Arial" w:hAnsi="Arial"/>
          <w:b/>
          <w:bCs/>
          <w:color w:val="2E86C1"/>
          <w:sz w:val="28"/>
          <w:szCs w:val="28"/>
        </w:rPr>
        <w:t xml:space="preserve">8.1 Qué es Únete al Flow</w:t>
      </w:r>
    </w:p>
    <w:p>
      <w:pPr>
        <w:spacing w:after="60" w:before="60"/>
        <w:jc w:val="left"/>
      </w:pPr>
      <w:r>
        <w:rPr>
          <w:rFonts w:ascii="Arial" w:cs="Arial" w:eastAsia="Arial" w:hAnsi="Arial"/>
          <w:b w:val="false"/>
          <w:bCs w:val="false"/>
          <w:i w:val="false"/>
          <w:iCs w:val="false"/>
          <w:color w:val="1A1A1A"/>
          <w:sz w:val="22"/>
          <w:szCs w:val="22"/>
        </w:rPr>
        <w:t xml:space="preserve">Únete al Flow es la vertical más nueva de Pegasus, nacida como proyecto de inserción laboral y restauración inclusiva. Actividad principalmente en agosto y septiembre, vinculada a eventos municipales, institucionales, empresariales o sociales. Articulada en torno a una alianza con Black Bull: catering 100% inclusivo donde las personas con discapacidad trabajan en todo el proceso productivo.</w:t>
      </w:r>
    </w:p>
    <w:p>
      <w:pPr>
        <w:spacing w:after="120" w:before="120"/>
        <w:ind w:left="720"/>
      </w:pPr>
      <w:r>
        <w:rPr>
          <w:rFonts w:ascii="Arial" w:cs="Arial" w:eastAsia="Arial" w:hAnsi="Arial"/>
          <w:b/>
          <w:bCs/>
          <w:i/>
          <w:iCs/>
          <w:color w:val="7B2FBE"/>
          <w:sz w:val="22"/>
          <w:szCs w:val="22"/>
        </w:rPr>
        <w:t xml:space="preserve">"Porque incluir también se puede... en la mesa."</w:t>
      </w:r>
    </w:p>
    <w:p>
      <w:pPr>
        <w:pStyle w:val="Heading2"/>
        <w:spacing w:after="140" w:before="280"/>
      </w:pPr>
      <w:r>
        <w:rPr>
          <w:rFonts w:ascii="Arial" w:cs="Arial" w:eastAsia="Arial" w:hAnsi="Arial"/>
          <w:b/>
          <w:bCs/>
          <w:color w:val="2E86C1"/>
          <w:sz w:val="28"/>
          <w:szCs w:val="28"/>
        </w:rPr>
        <w:t xml:space="preserve">8.2 Modelo de negocio</w:t>
      </w:r>
    </w:p>
    <w:p>
      <w:pPr>
        <w:spacing w:after="60" w:before="60"/>
        <w:jc w:val="left"/>
      </w:pPr>
      <w:r>
        <w:rPr>
          <w:rFonts w:ascii="Arial" w:cs="Arial" w:eastAsia="Arial" w:hAnsi="Arial"/>
          <w:b w:val="false"/>
          <w:bCs w:val="false"/>
          <w:i w:val="false"/>
          <w:iCs w:val="false"/>
          <w:color w:val="1A1A1A"/>
          <w:sz w:val="22"/>
          <w:szCs w:val="22"/>
        </w:rPr>
        <w:t xml:space="preserve">Los clientes pagan por el servicio de catering y obtienen adicionalmente el valor comunicacional e institucional de haber apostado por la inclusión. Target natural: ayuntamientos (Concejalía de Cultura y Festejos), empresas que organizan eventos corporativos y organizaciones del tercer sector.</w:t>
      </w:r>
    </w:p>
    <w:p>
      <w:pPr>
        <w:pStyle w:val="Heading2"/>
        <w:spacing w:after="140" w:before="280"/>
      </w:pPr>
      <w:r>
        <w:rPr>
          <w:rFonts w:ascii="Arial" w:cs="Arial" w:eastAsia="Arial" w:hAnsi="Arial"/>
          <w:b/>
          <w:bCs/>
          <w:color w:val="2E86C1"/>
          <w:sz w:val="28"/>
          <w:szCs w:val="28"/>
        </w:rPr>
        <w:t xml:space="preserve">8.3 Resultados y perspectiva</w:t>
      </w:r>
    </w:p>
    <w:p>
      <w:pPr>
        <w:spacing w:after="60" w:before="60"/>
        <w:jc w:val="left"/>
      </w:pPr>
      <w:r>
        <w:rPr>
          <w:rFonts w:ascii="Arial" w:cs="Arial" w:eastAsia="Arial" w:hAnsi="Arial"/>
          <w:b w:val="false"/>
          <w:bCs w:val="false"/>
          <w:i w:val="false"/>
          <w:iCs w:val="false"/>
          <w:color w:val="1A1A1A"/>
          <w:sz w:val="22"/>
          <w:szCs w:val="22"/>
        </w:rPr>
        <w:t xml:space="preserve">En 2025, solo tuvo actividad en septiembre: 34.878€ en un único mes activo. Para 2026, presupuesto de 64.414€ (agosto: 22.500€, septiembre: 41.914€). 2025 fue el año de demostrar que el modelo funciona. 2026 es el año de consolidar el patrón estacional.</w:t>
      </w:r>
    </w:p>
    <w:p>
      <w:pPr>
        <w:pStyle w:val="Heading2"/>
        <w:spacing w:after="140" w:before="280"/>
      </w:pPr>
      <w:r>
        <w:rPr>
          <w:rFonts w:ascii="Arial" w:cs="Arial" w:eastAsia="Arial" w:hAnsi="Arial"/>
          <w:b/>
          <w:bCs/>
          <w:color w:val="2E86C1"/>
          <w:sz w:val="28"/>
          <w:szCs w:val="28"/>
        </w:rPr>
        <w:t xml:space="preserve">8.4 Potencial a largo plazo</w:t>
      </w:r>
    </w:p>
    <w:p>
      <w:pPr>
        <w:spacing w:after="60" w:before="60"/>
        <w:jc w:val="left"/>
      </w:pPr>
      <w:r>
        <w:rPr>
          <w:rFonts w:ascii="Arial" w:cs="Arial" w:eastAsia="Arial" w:hAnsi="Arial"/>
          <w:b w:val="false"/>
          <w:bCs w:val="false"/>
          <w:i w:val="false"/>
          <w:iCs w:val="false"/>
          <w:color w:val="1A1A1A"/>
          <w:sz w:val="22"/>
          <w:szCs w:val="22"/>
        </w:rPr>
        <w:t xml:space="preserve">Únete al Flow tiene potencial para convertirse en una línea de negocio de inserción laboral más amplia, que podría incluir otros sectores además de la restauración. La alianza con Black Bull es el primer paso de lo que podría ser un programa de inserción laboral sistemático.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FB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PARTE III — CÓMO SOSTENEMOS</w:t>
            </w:r>
          </w:p>
        </w:tc>
      </w:tr>
    </w:tbl>
    <w:p>
      <w:pPr>
        <w:spacing w:after="40" w:before="40"/>
      </w:pPr>
      <w:r>
        <w:t xml:space="preserve"/>
      </w:r>
    </w:p>
    <w:p>
      <w:pPr>
        <w:pStyle w:val="Heading1"/>
        <w:pBdr>
          <w:bottom w:val="single" w:color="7B2FBE" w:sz="4"/>
        </w:pBdr>
        <w:spacing w:after="200" w:before="400"/>
      </w:pPr>
      <w:r>
        <w:rPr>
          <w:rFonts w:ascii="Arial" w:cs="Arial" w:eastAsia="Arial" w:hAnsi="Arial"/>
          <w:b/>
          <w:bCs/>
          <w:color w:val="7B2FBE"/>
          <w:sz w:val="36"/>
          <w:szCs w:val="36"/>
        </w:rPr>
        <w:t xml:space="preserve">9. MODELO ECONÓMICO Y FINANCIERO</w:t>
      </w:r>
    </w:p>
    <w:p>
      <w:pPr>
        <w:pStyle w:val="Heading2"/>
        <w:spacing w:after="140" w:before="280"/>
      </w:pPr>
      <w:r>
        <w:rPr>
          <w:rFonts w:ascii="Arial" w:cs="Arial" w:eastAsia="Arial" w:hAnsi="Arial"/>
          <w:b/>
          <w:bCs/>
          <w:color w:val="2E86C1"/>
          <w:sz w:val="28"/>
          <w:szCs w:val="28"/>
        </w:rPr>
        <w:t xml:space="preserve">9.1 Filosofía financiera</w:t>
      </w:r>
    </w:p>
    <w:p>
      <w:pPr>
        <w:spacing w:after="60" w:before="60"/>
        <w:jc w:val="left"/>
      </w:pPr>
      <w:r>
        <w:rPr>
          <w:rFonts w:ascii="Arial" w:cs="Arial" w:eastAsia="Arial" w:hAnsi="Arial"/>
          <w:b w:val="false"/>
          <w:bCs w:val="false"/>
          <w:i w:val="false"/>
          <w:iCs w:val="false"/>
          <w:color w:val="1A1A1A"/>
          <w:sz w:val="22"/>
          <w:szCs w:val="22"/>
        </w:rPr>
        <w:t xml:space="preserve">El modelo financiero de Pegasus parte de una premisa clara: la organización no acepta donativos ni voluntariado. Toda la financiación proviene de servicios de valor real. El modelo de subsidio cruzado es la clave del sistema: Indiferente y los contratos institucionales financian la accesibilidad de TPT e IS.</w:t>
      </w:r>
    </w:p>
    <w:p>
      <w:pPr>
        <w:pStyle w:val="Heading2"/>
        <w:spacing w:after="140" w:before="280"/>
      </w:pPr>
      <w:r>
        <w:rPr>
          <w:rFonts w:ascii="Arial" w:cs="Arial" w:eastAsia="Arial" w:hAnsi="Arial"/>
          <w:b/>
          <w:bCs/>
          <w:color w:val="2E86C1"/>
          <w:sz w:val="28"/>
          <w:szCs w:val="28"/>
        </w:rPr>
        <w:t xml:space="preserve">9.2 Resultados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Concepto</w:t>
            </w:r>
          </w:p>
        </w:tc>
        <w:tc>
          <w:tcPr>
            <w:tcW w:type="dxa" w:w="30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Importe</w:t>
            </w:r>
          </w:p>
        </w:tc>
      </w:tr>
      <w:tr>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Ingresos de la actividad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967.471 €</w:t>
            </w:r>
          </w:p>
        </w:tc>
      </w:tr>
      <w:tr>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Subvenciones a la explotación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37.857 €</w:t>
            </w:r>
          </w:p>
        </w:tc>
      </w:tr>
      <w:tr>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Otros ingresos de explotación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28.794 €</w:t>
            </w:r>
          </w:p>
        </w:tc>
      </w:tr>
      <w:tr>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INGRESOS TOTALES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1.034.122 €</w:t>
            </w:r>
          </w:p>
        </w:tc>
      </w:tr>
      <w:tr>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Gastos de personal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-873.076 €</w:t>
            </w:r>
          </w:p>
        </w:tc>
      </w:tr>
      <w:tr>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Otros gastos de explotación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-175.514 €</w:t>
            </w:r>
          </w:p>
        </w:tc>
      </w:tr>
      <w:tr>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Gastos financieros (cobro ágil)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-8.594 €</w:t>
            </w:r>
          </w:p>
        </w:tc>
      </w:tr>
      <w:tr>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Amortizaciones y dotaciones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-22.705 €</w:t>
            </w:r>
          </w:p>
        </w:tc>
      </w:tr>
      <w:tr>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RESULTADO CONTABLE 2025</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-45.767 €</w:t>
            </w:r>
          </w:p>
        </w:tc>
      </w:tr>
      <w:tr>
        <w:tc>
          <w:tcPr>
            <w:tcW w:type="dxa" w:w="63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Convenio FMM (cobrado ene-26)</w:t>
            </w:r>
          </w:p>
        </w:tc>
        <w:tc>
          <w:tcPr>
            <w:tcW w:type="dxa" w:w="3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+60.645 €</w:t>
            </w:r>
          </w:p>
        </w:tc>
      </w:tr>
      <w:tr>
        <w:tc>
          <w:tcPr>
            <w:tcW w:type="dxa" w:w="636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Gastos no recurrentes</w:t>
            </w:r>
          </w:p>
        </w:tc>
        <w:tc>
          <w:tcPr>
            <w:tcW w:type="dxa" w:w="3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+21.026 €</w:t>
            </w:r>
          </w:p>
        </w:tc>
      </w:tr>
      <w:tr>
        <w:tc>
          <w:tcPr>
            <w:tcW w:type="dxa" w:w="6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RESULTADO DE GESTIÓN 2025</w:t>
            </w:r>
          </w:p>
        </w:tc>
        <w:tc>
          <w:tcPr>
            <w:tcW w:type="dxa" w:w="3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+35.904 €</w:t>
            </w:r>
          </w:p>
        </w:tc>
      </w:tr>
    </w:tbl>
    <w:p>
      <w:pPr>
        <w:pStyle w:val="Heading2"/>
        <w:spacing w:after="140" w:before="280"/>
      </w:pPr>
      <w:r>
        <w:rPr>
          <w:rFonts w:ascii="Arial" w:cs="Arial" w:eastAsia="Arial" w:hAnsi="Arial"/>
          <w:b/>
          <w:bCs/>
          <w:color w:val="2E86C1"/>
          <w:sz w:val="28"/>
          <w:szCs w:val="28"/>
        </w:rPr>
        <w:t xml:space="preserve">9.3 Estructura de ingresos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1280"/>
        <w:gridCol w:w="2800"/>
      </w:tblGrid>
      <w:tr>
        <w:tc>
          <w:tcPr>
            <w:tcW w:type="dxa" w:w="32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Vertical</w:t>
            </w:r>
          </w:p>
        </w:tc>
        <w:tc>
          <w:tcPr>
            <w:tcW w:type="dxa" w:w="208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Ingresos 2025</w:t>
            </w:r>
          </w:p>
        </w:tc>
        <w:tc>
          <w:tcPr>
            <w:tcW w:type="dxa" w:w="128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del total</w:t>
            </w:r>
          </w:p>
        </w:tc>
        <w:tc>
          <w:tcPr>
            <w:tcW w:type="dxa" w:w="28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Presupuesto 2026</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Terapias Para Todos (TPT)</w:t>
            </w:r>
          </w:p>
        </w:tc>
        <w:tc>
          <w:tcPr>
            <w:tcW w:type="dxa" w:w="2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532.739 €</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51,5%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718.740 €</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Indiferente</w:t>
            </w:r>
          </w:p>
        </w:tc>
        <w:tc>
          <w:tcPr>
            <w:tcW w:type="dxa" w:w="2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234.430 €</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22,7%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626.346 €</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Inclusive Sport (IS)</w:t>
            </w:r>
          </w:p>
        </w:tc>
        <w:tc>
          <w:tcPr>
            <w:tcW w:type="dxa" w:w="2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194.228 €</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18,8%</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184.245 €</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Subvenciones</w:t>
            </w:r>
          </w:p>
        </w:tc>
        <w:tc>
          <w:tcPr>
            <w:tcW w:type="dxa" w:w="2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37.857 €</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29.150 €</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Únete al Flow</w:t>
            </w:r>
          </w:p>
        </w:tc>
        <w:tc>
          <w:tcPr>
            <w:tcW w:type="dxa" w:w="2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34.868 €</w:t>
            </w:r>
          </w:p>
        </w:tc>
        <w:tc>
          <w:tcPr>
            <w:tcW w:type="dxa" w:w="1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64.414 €</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TOTAL</w:t>
            </w:r>
          </w:p>
        </w:tc>
        <w:tc>
          <w:tcPr>
            <w:tcW w:type="dxa" w:w="2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1.034.122 €</w:t>
            </w:r>
          </w:p>
        </w:tc>
        <w:tc>
          <w:tcPr>
            <w:tcW w:type="dxa" w:w="1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100%</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1.622.895 €</w:t>
            </w:r>
          </w:p>
        </w:tc>
      </w:tr>
    </w:tbl>
    <w:p>
      <w:pPr>
        <w:pStyle w:val="Heading2"/>
        <w:spacing w:after="140" w:before="280"/>
      </w:pPr>
      <w:r>
        <w:rPr>
          <w:rFonts w:ascii="Arial" w:cs="Arial" w:eastAsia="Arial" w:hAnsi="Arial"/>
          <w:b/>
          <w:bCs/>
          <w:color w:val="2E86C1"/>
          <w:sz w:val="28"/>
          <w:szCs w:val="28"/>
        </w:rPr>
        <w:t xml:space="preserve">9.4 Evolución histórica y proyección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Año</w:t>
            </w:r>
          </w:p>
        </w:tc>
        <w:tc>
          <w:tcPr>
            <w:tcW w:type="dxa" w:w="348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Ingresos Totales</w:t>
            </w:r>
          </w:p>
        </w:tc>
        <w:tc>
          <w:tcPr>
            <w:tcW w:type="dxa" w:w="348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Crecimiento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2024</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866.121 €</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Base de referencia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2025</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1.034.122 €</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+19,4% orgánico</w:t>
            </w:r>
          </w:p>
        </w:tc>
      </w:tr>
      <w:tr>
        <w:tc>
          <w:tcPr>
            <w:tcW w:type="dxa" w:w="24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2026 (presupuesto)</w:t>
            </w:r>
          </w:p>
        </w:tc>
        <w:tc>
          <w:tcPr>
            <w:tcW w:type="dxa" w:w="348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1.622.895 €</w:t>
            </w:r>
          </w:p>
        </w:tc>
        <w:tc>
          <w:tcPr>
            <w:tcW w:type="dxa" w:w="348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+57% vs 2025</w:t>
            </w:r>
          </w:p>
        </w:tc>
      </w:tr>
    </w:tbl>
    <w:p>
      <w:pPr>
        <w:pStyle w:val="Heading2"/>
        <w:spacing w:after="140" w:before="280"/>
      </w:pPr>
      <w:r>
        <w:rPr>
          <w:rFonts w:ascii="Arial" w:cs="Arial" w:eastAsia="Arial" w:hAnsi="Arial"/>
          <w:b/>
          <w:bCs/>
          <w:color w:val="2E86C1"/>
          <w:sz w:val="28"/>
          <w:szCs w:val="28"/>
        </w:rPr>
        <w:t xml:space="preserve">9.5 Ingresos recurrentes</w:t>
      </w:r>
    </w:p>
    <w:p>
      <w:pPr>
        <w:spacing w:after="60" w:before="60"/>
        <w:jc w:val="left"/>
      </w:pPr>
      <w:r>
        <w:rPr>
          <w:rFonts w:ascii="Arial" w:cs="Arial" w:eastAsia="Arial" w:hAnsi="Arial"/>
          <w:b w:val="false"/>
          <w:bCs w:val="false"/>
          <w:i w:val="false"/>
          <w:iCs w:val="false"/>
          <w:color w:val="1A1A1A"/>
          <w:sz w:val="22"/>
          <w:szCs w:val="22"/>
        </w:rPr>
        <w:t xml:space="preserve">El 70% de la facturación total proviene de suscripciones mensuales de TPT e IS. En 2025 alcanzaron 726.878€ (+30,3% vs 2024). Proyección 2026: 902.985€ (+24%). El LTV de TPT e IS es muy elevado porque las necesidades terapéuticas de las personas con discapacidad son de por vida.</w:t>
      </w:r>
    </w:p>
    <w:p>
      <w:pPr>
        <w:pStyle w:val="Heading2"/>
        <w:spacing w:after="140" w:before="280"/>
      </w:pPr>
      <w:r>
        <w:rPr>
          <w:rFonts w:ascii="Arial" w:cs="Arial" w:eastAsia="Arial" w:hAnsi="Arial"/>
          <w:b/>
          <w:bCs/>
          <w:color w:val="2E86C1"/>
          <w:sz w:val="28"/>
          <w:szCs w:val="28"/>
        </w:rPr>
        <w:t xml:space="preserve">9.6 Situación de tesorería y línea de cobro ágil</w:t>
      </w:r>
    </w:p>
    <w:p>
      <w:pPr>
        <w:spacing w:after="60" w:before="60"/>
        <w:jc w:val="left"/>
      </w:pPr>
      <w:r>
        <w:rPr>
          <w:rFonts w:ascii="Arial" w:cs="Arial" w:eastAsia="Arial" w:hAnsi="Arial"/>
          <w:b w:val="false"/>
          <w:bCs w:val="false"/>
          <w:i w:val="false"/>
          <w:iCs w:val="false"/>
          <w:color w:val="1A1A1A"/>
          <w:sz w:val="22"/>
          <w:szCs w:val="22"/>
        </w:rPr>
        <w:t xml:space="preserve">El principal reto financiero no es de rentabilidad sino de liquidez. Las Administraciones Públicas tardan entre 45 y 60 días en pagar. En mayo de 2026, sin línea de crédito, la caja proyectada es de -1.561€. Con línea activa: +19.256€. Línea solicitada: 75.000€ (39% del beneficio operativo anual previsto de +193.553€).</w:t>
      </w:r>
    </w:p>
    <w:p>
      <w:pPr>
        <w:pStyle w:val="Heading2"/>
        <w:spacing w:after="140" w:before="280"/>
      </w:pPr>
      <w:r>
        <w:rPr>
          <w:rFonts w:ascii="Arial" w:cs="Arial" w:eastAsia="Arial" w:hAnsi="Arial"/>
          <w:b/>
          <w:bCs/>
          <w:color w:val="2E86C1"/>
          <w:sz w:val="28"/>
          <w:szCs w:val="28"/>
        </w:rPr>
        <w:t xml:space="preserve">9.7 Capacidad instalada y potencial de crecimiento</w:t>
      </w:r>
    </w:p>
    <w:p>
      <w:pPr>
        <w:spacing w:after="60" w:before="60"/>
        <w:jc w:val="left"/>
      </w:pPr>
      <w:r>
        <w:rPr>
          <w:rFonts w:ascii="Arial" w:cs="Arial" w:eastAsia="Arial" w:hAnsi="Arial"/>
          <w:b w:val="false"/>
          <w:bCs w:val="false"/>
          <w:i w:val="false"/>
          <w:iCs w:val="false"/>
          <w:color w:val="1A1A1A"/>
          <w:sz w:val="22"/>
          <w:szCs w:val="22"/>
        </w:rPr>
        <w:t xml:space="preserve">250 plazas disponibles en TPT sin coste marginal adicional. Potencial anual de ese upside: 287.592€. La ocupación actual es del 65%, con un 35% de recorrido disponible.</w:t>
      </w:r>
    </w:p>
    <w:p>
      <w:pPr>
        <w:pStyle w:val="Heading2"/>
        <w:spacing w:after="140" w:before="280"/>
      </w:pPr>
      <w:r>
        <w:rPr>
          <w:rFonts w:ascii="Arial" w:cs="Arial" w:eastAsia="Arial" w:hAnsi="Arial"/>
          <w:b/>
          <w:bCs/>
          <w:color w:val="2E86C1"/>
          <w:sz w:val="28"/>
          <w:szCs w:val="28"/>
        </w:rPr>
        <w:t xml:space="preserve">9.8 Principales riesgos financieros</w:t>
      </w:r>
    </w:p>
    <w:p>
      <w:pPr>
        <w:pStyle w:val="ListParagraph"/>
        <w:numPr>
          <w:ilvl w:val="0"/>
          <w:numId w:val="2"/>
        </w:numPr>
        <w:spacing w:after="40" w:before="40"/>
      </w:pPr>
      <w:r>
        <w:rPr>
          <w:rFonts w:ascii="Arial" w:cs="Arial" w:eastAsia="Arial" w:hAnsi="Arial"/>
          <w:color w:val="1A1A1A"/>
          <w:sz w:val="22"/>
          <w:szCs w:val="22"/>
        </w:rPr>
        <w:t xml:space="preserve">Dependencia de dos grandes contratos institucionales: FMM (33,6% de Indiferente) y Comunidad de Madrid (23,9%).</w:t>
      </w:r>
    </w:p>
    <w:p>
      <w:pPr>
        <w:pStyle w:val="ListParagraph"/>
        <w:numPr>
          <w:ilvl w:val="0"/>
          <w:numId w:val="2"/>
        </w:numPr>
        <w:spacing w:after="40" w:before="40"/>
      </w:pPr>
      <w:r>
        <w:rPr>
          <w:rFonts w:ascii="Arial" w:cs="Arial" w:eastAsia="Arial" w:hAnsi="Arial"/>
          <w:color w:val="1A1A1A"/>
          <w:sz w:val="22"/>
          <w:szCs w:val="22"/>
        </w:rPr>
        <w:t xml:space="preserve">Exposición a ciclos políticos. El convenio FMM corre riesgo por una alcaldesa del PSOE que quiere tumbarlo.</w:t>
      </w:r>
    </w:p>
    <w:p>
      <w:pPr>
        <w:pStyle w:val="ListParagraph"/>
        <w:numPr>
          <w:ilvl w:val="0"/>
          <w:numId w:val="2"/>
        </w:numPr>
        <w:spacing w:after="40" w:before="40"/>
      </w:pPr>
      <w:r>
        <w:rPr>
          <w:rFonts w:ascii="Arial" w:cs="Arial" w:eastAsia="Arial" w:hAnsi="Arial"/>
          <w:color w:val="1A1A1A"/>
          <w:sz w:val="22"/>
          <w:szCs w:val="22"/>
        </w:rPr>
        <w:t xml:space="preserve">El 85% de los gastos son nóminas. Margen de maniobra limitado ante caídas de ingresos.</w:t>
      </w:r>
    </w:p>
    <w:p>
      <w:pPr>
        <w:pStyle w:val="ListParagraph"/>
        <w:numPr>
          <w:ilvl w:val="0"/>
          <w:numId w:val="2"/>
        </w:numPr>
        <w:spacing w:after="40" w:before="40"/>
      </w:pPr>
      <w:r>
        <w:rPr>
          <w:rFonts w:ascii="Arial" w:cs="Arial" w:eastAsia="Arial" w:hAnsi="Arial"/>
          <w:color w:val="1A1A1A"/>
          <w:sz w:val="22"/>
          <w:szCs w:val="22"/>
        </w:rPr>
        <w:t xml:space="preserve">Sin Indiferente, el proyecto de servicios a familias no es autosuficiente.</w:t>
      </w:r>
    </w:p>
    <w:p>
      <w:pPr>
        <w:pStyle w:val="ListParagraph"/>
        <w:numPr>
          <w:ilvl w:val="0"/>
          <w:numId w:val="2"/>
        </w:numPr>
        <w:spacing w:after="40" w:before="40"/>
      </w:pPr>
      <w:r>
        <w:rPr>
          <w:rFonts w:ascii="Arial" w:cs="Arial" w:eastAsia="Arial" w:hAnsi="Arial"/>
          <w:color w:val="1A1A1A"/>
          <w:sz w:val="22"/>
          <w:szCs w:val="22"/>
        </w:rPr>
        <w:t xml:space="preserve">Ausencia de ingresos recurrentes en Indiferente (canal empresas).</w:t>
      </w:r>
    </w:p>
    <w:p>
      <w:r>
        <w:br w:type="page"/>
      </w:r>
    </w:p>
    <w:p>
      <w:pPr>
        <w:pStyle w:val="Heading1"/>
        <w:pBdr>
          <w:bottom w:val="single" w:color="7B2FBE" w:sz="4"/>
        </w:pBdr>
        <w:spacing w:after="200" w:before="400"/>
      </w:pPr>
      <w:r>
        <w:rPr>
          <w:rFonts w:ascii="Arial" w:cs="Arial" w:eastAsia="Arial" w:hAnsi="Arial"/>
          <w:b/>
          <w:bCs/>
          <w:color w:val="7B2FBE"/>
          <w:sz w:val="36"/>
          <w:szCs w:val="36"/>
        </w:rPr>
        <w:t xml:space="preserve">10. MODELO DE RELACIONES INSTITUCIONALES</w:t>
      </w:r>
    </w:p>
    <w:p>
      <w:pPr>
        <w:pStyle w:val="Heading2"/>
        <w:spacing w:after="140" w:before="280"/>
      </w:pPr>
      <w:r>
        <w:rPr>
          <w:rFonts w:ascii="Arial" w:cs="Arial" w:eastAsia="Arial" w:hAnsi="Arial"/>
          <w:b/>
          <w:bCs/>
          <w:color w:val="2E86C1"/>
          <w:sz w:val="28"/>
          <w:szCs w:val="28"/>
        </w:rPr>
        <w:t xml:space="preserve">10.1 Los ayuntamientos como socios estratégicos</w:t>
      </w:r>
    </w:p>
    <w:p>
      <w:pPr>
        <w:spacing w:after="60" w:before="60"/>
        <w:jc w:val="left"/>
      </w:pPr>
      <w:r>
        <w:rPr>
          <w:rFonts w:ascii="Arial" w:cs="Arial" w:eastAsia="Arial" w:hAnsi="Arial"/>
          <w:b w:val="false"/>
          <w:bCs w:val="false"/>
          <w:i w:val="false"/>
          <w:iCs w:val="false"/>
          <w:color w:val="1A1A1A"/>
          <w:sz w:val="22"/>
          <w:szCs w:val="22"/>
        </w:rPr>
        <w:t xml:space="preserve">Los ayuntamientos son simultáneamente: cedentes de espacios (para TPT e IS sin coste de alquiler), clientes de Indiferente, canales de captación de familias y fuentes de legitimidad institucional. Esta multidimensionalidad convierte la gestión de relaciones con ayuntamientos en una actividad de alta complejidad y alto valor estratégico.</w:t>
      </w:r>
    </w:p>
    <w:p>
      <w:pPr>
        <w:pStyle w:val="Heading2"/>
        <w:spacing w:after="140" w:before="280"/>
      </w:pPr>
      <w:r>
        <w:rPr>
          <w:rFonts w:ascii="Arial" w:cs="Arial" w:eastAsia="Arial" w:hAnsi="Arial"/>
          <w:b/>
          <w:bCs/>
          <w:color w:val="2E86C1"/>
          <w:sz w:val="28"/>
          <w:szCs w:val="28"/>
        </w:rPr>
        <w:t xml:space="preserve">10.2 La Federación Madrileña de Municipios (FMM)</w:t>
      </w:r>
    </w:p>
    <w:p>
      <w:pPr>
        <w:spacing w:after="60" w:before="60"/>
        <w:jc w:val="left"/>
      </w:pPr>
      <w:r>
        <w:rPr>
          <w:rFonts w:ascii="Arial" w:cs="Arial" w:eastAsia="Arial" w:hAnsi="Arial"/>
          <w:b w:val="false"/>
          <w:bCs w:val="false"/>
          <w:i w:val="false"/>
          <w:iCs w:val="false"/>
          <w:color w:val="1A1A1A"/>
          <w:sz w:val="22"/>
          <w:szCs w:val="22"/>
        </w:rPr>
        <w:t xml:space="preserve">El partner institucional más importante. El convenio firmado en diciembre de 2025 (18 meses) representa 60.645€ ya cobrados en enero de 2026. La negociación en curso para ampliarlo de 3 a 10 núcleos podría generar aproximadamente 200.000€ adicionales.</w:t>
      </w:r>
    </w:p>
    <w:p>
      <w:pPr>
        <w:spacing w:after="40" w:before="40"/>
      </w:pPr>
      <w:r>
        <w:t xml:space="preserve"/>
      </w:r>
    </w:p>
    <w:p>
      <w:pPr>
        <w:pBdr>
          <w:left w:val="single" w:color="2E86C1" w:sz="6"/>
        </w:pBdr>
        <w:spacing w:after="80" w:before="80"/>
        <w:ind w:left="360"/>
      </w:pPr>
      <w:r>
        <w:rPr>
          <w:rFonts w:ascii="Arial" w:cs="Arial" w:eastAsia="Arial" w:hAnsi="Arial"/>
          <w:i/>
          <w:iCs/>
          <w:color w:val="555555"/>
          <w:sz w:val="20"/>
          <w:szCs w:val="20"/>
        </w:rPr>
        <w:t xml:space="preserve">NOTA: RIESGO CRÍTICO: El convenio FMM corre riesgo de ser tumbado por la alcaldesa del Corpus Christi, del PSOE, que se opone al proyecto.</w:t>
      </w:r>
    </w:p>
    <w:p>
      <w:pPr>
        <w:pStyle w:val="Heading2"/>
        <w:spacing w:after="140" w:before="280"/>
      </w:pPr>
      <w:r>
        <w:rPr>
          <w:rFonts w:ascii="Arial" w:cs="Arial" w:eastAsia="Arial" w:hAnsi="Arial"/>
          <w:b/>
          <w:bCs/>
          <w:color w:val="2E86C1"/>
          <w:sz w:val="28"/>
          <w:szCs w:val="28"/>
        </w:rPr>
        <w:t xml:space="preserve">10.3 La Comunidad de Madrid</w:t>
      </w:r>
    </w:p>
    <w:p>
      <w:pPr>
        <w:spacing w:after="60" w:before="60"/>
        <w:jc w:val="left"/>
      </w:pPr>
      <w:r>
        <w:rPr>
          <w:rFonts w:ascii="Arial" w:cs="Arial" w:eastAsia="Arial" w:hAnsi="Arial"/>
          <w:b w:val="false"/>
          <w:bCs w:val="false"/>
          <w:i w:val="false"/>
          <w:iCs w:val="false"/>
          <w:color w:val="1A1A1A"/>
          <w:sz w:val="22"/>
          <w:szCs w:val="22"/>
        </w:rPr>
        <w:t xml:space="preserve">Segundo gran cliente institucional. Proyecto ad hoc de 150.000€ en proceso de firma. Representa el 23,9% del presupuesto de Indiferente para 2026. El convenio de singularidad ad hoc se cobra el 100% al inicio de la firma.</w:t>
      </w:r>
    </w:p>
    <w:p>
      <w:pPr>
        <w:pStyle w:val="Heading2"/>
        <w:spacing w:after="140" w:before="280"/>
      </w:pPr>
      <w:r>
        <w:rPr>
          <w:rFonts w:ascii="Arial" w:cs="Arial" w:eastAsia="Arial" w:hAnsi="Arial"/>
          <w:b/>
          <w:bCs/>
          <w:color w:val="2E86C1"/>
          <w:sz w:val="28"/>
          <w:szCs w:val="28"/>
        </w:rPr>
        <w:t xml:space="preserve">10.4 Dependencia política: el riesgo sistémico</w:t>
      </w:r>
    </w:p>
    <w:p>
      <w:pPr>
        <w:spacing w:after="60" w:before="60"/>
        <w:jc w:val="left"/>
      </w:pPr>
      <w:r>
        <w:rPr>
          <w:rFonts w:ascii="Arial" w:cs="Arial" w:eastAsia="Arial" w:hAnsi="Arial"/>
          <w:b w:val="false"/>
          <w:bCs w:val="false"/>
          <w:i w:val="false"/>
          <w:iCs w:val="false"/>
          <w:color w:val="1A1A1A"/>
          <w:sz w:val="22"/>
          <w:szCs w:val="22"/>
        </w:rPr>
        <w:t xml:space="preserve">Las buenas relaciones actuales con el PP son un activo real pero frágil. La ausencia de contratos con ayuntamientos del PSOE es una vulnerabilidad sistémica que limita el mercado potencial de Indiferente. La estrategia de diversificación de la cartera de clientes institucionales es la respuesta más adecuada a largo plazo.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FB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PARTE IV — DÓNDE VAMOS</w:t>
            </w:r>
          </w:p>
        </w:tc>
      </w:tr>
    </w:tbl>
    <w:p>
      <w:pPr>
        <w:spacing w:after="40" w:before="40"/>
      </w:pPr>
      <w:r>
        <w:t xml:space="preserve"/>
      </w:r>
    </w:p>
    <w:p>
      <w:pPr>
        <w:pStyle w:val="Heading1"/>
        <w:pBdr>
          <w:bottom w:val="single" w:color="7B2FBE" w:sz="4"/>
        </w:pBdr>
        <w:spacing w:after="200" w:before="400"/>
      </w:pPr>
      <w:r>
        <w:rPr>
          <w:rFonts w:ascii="Arial" w:cs="Arial" w:eastAsia="Arial" w:hAnsi="Arial"/>
          <w:b/>
          <w:bCs/>
          <w:color w:val="7B2FBE"/>
          <w:sz w:val="36"/>
          <w:szCs w:val="36"/>
        </w:rPr>
        <w:t xml:space="preserve">11. VISIÓN DE FUTURO Y RETOS ESTRATÉGICOS</w:t>
      </w:r>
    </w:p>
    <w:p>
      <w:pPr>
        <w:pStyle w:val="Heading2"/>
        <w:spacing w:after="140" w:before="280"/>
      </w:pPr>
      <w:r>
        <w:rPr>
          <w:rFonts w:ascii="Arial" w:cs="Arial" w:eastAsia="Arial" w:hAnsi="Arial"/>
          <w:b/>
          <w:bCs/>
          <w:color w:val="2E86C1"/>
          <w:sz w:val="28"/>
          <w:szCs w:val="28"/>
        </w:rPr>
        <w:t xml:space="preserve">11.1 Visión a corto plazo (2026)</w:t>
      </w:r>
    </w:p>
    <w:p>
      <w:pPr>
        <w:pStyle w:val="ListParagraph"/>
        <w:numPr>
          <w:ilvl w:val="0"/>
          <w:numId w:val="2"/>
        </w:numPr>
        <w:spacing w:after="40" w:before="40"/>
      </w:pPr>
      <w:r>
        <w:rPr>
          <w:rFonts w:ascii="Arial" w:cs="Arial" w:eastAsia="Arial" w:hAnsi="Arial"/>
          <w:color w:val="1A1A1A"/>
          <w:sz w:val="22"/>
          <w:szCs w:val="22"/>
        </w:rPr>
        <w:t xml:space="preserve">Llenar las 250 plazas disponibles en TPT hasta alcanzar el 80%+ de ocupación.</w:t>
      </w:r>
    </w:p>
    <w:p>
      <w:pPr>
        <w:pStyle w:val="ListParagraph"/>
        <w:numPr>
          <w:ilvl w:val="0"/>
          <w:numId w:val="2"/>
        </w:numPr>
        <w:spacing w:after="40" w:before="40"/>
      </w:pPr>
      <w:r>
        <w:rPr>
          <w:rFonts w:ascii="Arial" w:cs="Arial" w:eastAsia="Arial" w:hAnsi="Arial"/>
          <w:color w:val="1A1A1A"/>
          <w:sz w:val="22"/>
          <w:szCs w:val="22"/>
        </w:rPr>
        <w:t xml:space="preserve">Cerrar y ejecutar el convenio CCMM de 150.000€.</w:t>
      </w:r>
    </w:p>
    <w:p>
      <w:pPr>
        <w:pStyle w:val="ListParagraph"/>
        <w:numPr>
          <w:ilvl w:val="0"/>
          <w:numId w:val="2"/>
        </w:numPr>
        <w:spacing w:after="40" w:before="40"/>
      </w:pPr>
      <w:r>
        <w:rPr>
          <w:rFonts w:ascii="Arial" w:cs="Arial" w:eastAsia="Arial" w:hAnsi="Arial"/>
          <w:color w:val="1A1A1A"/>
          <w:sz w:val="22"/>
          <w:szCs w:val="22"/>
        </w:rPr>
        <w:t xml:space="preserve">Asegurar la renovación y ampliación del convenio FMM.</w:t>
      </w:r>
    </w:p>
    <w:p>
      <w:pPr>
        <w:pStyle w:val="ListParagraph"/>
        <w:numPr>
          <w:ilvl w:val="0"/>
          <w:numId w:val="2"/>
        </w:numPr>
        <w:spacing w:after="40" w:before="40"/>
      </w:pPr>
      <w:r>
        <w:rPr>
          <w:rFonts w:ascii="Arial" w:cs="Arial" w:eastAsia="Arial" w:hAnsi="Arial"/>
          <w:color w:val="1A1A1A"/>
          <w:sz w:val="22"/>
          <w:szCs w:val="22"/>
        </w:rPr>
        <w:t xml:space="preserve">Completar la fusión de coordinadores de TPT e IS para septiembre de 2026.</w:t>
      </w:r>
    </w:p>
    <w:p>
      <w:pPr>
        <w:pStyle w:val="ListParagraph"/>
        <w:numPr>
          <w:ilvl w:val="0"/>
          <w:numId w:val="2"/>
        </w:numPr>
        <w:spacing w:after="40" w:before="40"/>
      </w:pPr>
      <w:r>
        <w:rPr>
          <w:rFonts w:ascii="Arial" w:cs="Arial" w:eastAsia="Arial" w:hAnsi="Arial"/>
          <w:color w:val="1A1A1A"/>
          <w:sz w:val="22"/>
          <w:szCs w:val="22"/>
        </w:rPr>
        <w:t xml:space="preserve">Consolidar la transición de Iris hacia la dirección autónoma de servicios.</w:t>
      </w:r>
    </w:p>
    <w:p>
      <w:pPr>
        <w:pStyle w:val="ListParagraph"/>
        <w:numPr>
          <w:ilvl w:val="0"/>
          <w:numId w:val="2"/>
        </w:numPr>
        <w:spacing w:after="40" w:before="40"/>
      </w:pPr>
      <w:r>
        <w:rPr>
          <w:rFonts w:ascii="Arial" w:cs="Arial" w:eastAsia="Arial" w:hAnsi="Arial"/>
          <w:color w:val="1A1A1A"/>
          <w:sz w:val="22"/>
          <w:szCs w:val="22"/>
        </w:rPr>
        <w:t xml:space="preserve">Lanzar el MVP del Plan Bienestar Corporativo para empresas.</w:t>
      </w:r>
    </w:p>
    <w:p>
      <w:pPr>
        <w:pStyle w:val="ListParagraph"/>
        <w:numPr>
          <w:ilvl w:val="0"/>
          <w:numId w:val="2"/>
        </w:numPr>
        <w:spacing w:after="40" w:before="40"/>
      </w:pPr>
      <w:r>
        <w:rPr>
          <w:rFonts w:ascii="Arial" w:cs="Arial" w:eastAsia="Arial" w:hAnsi="Arial"/>
          <w:color w:val="1A1A1A"/>
          <w:sz w:val="22"/>
          <w:szCs w:val="22"/>
        </w:rPr>
        <w:t xml:space="preserve">Realizar el análisis de precio de mercado en TPT e IS.</w:t>
      </w:r>
    </w:p>
    <w:p>
      <w:pPr>
        <w:pStyle w:val="Heading2"/>
        <w:spacing w:after="140" w:before="280"/>
      </w:pPr>
      <w:r>
        <w:rPr>
          <w:rFonts w:ascii="Arial" w:cs="Arial" w:eastAsia="Arial" w:hAnsi="Arial"/>
          <w:b/>
          <w:bCs/>
          <w:color w:val="2E86C1"/>
          <w:sz w:val="28"/>
          <w:szCs w:val="28"/>
        </w:rPr>
        <w:t xml:space="preserve">11.2 Visión a medio plazo (2027-2028)</w:t>
      </w:r>
    </w:p>
    <w:p>
      <w:pPr>
        <w:spacing w:after="60" w:before="60"/>
        <w:jc w:val="left"/>
      </w:pPr>
      <w:r>
        <w:rPr>
          <w:rFonts w:ascii="Arial" w:cs="Arial" w:eastAsia="Arial" w:hAnsi="Arial"/>
          <w:b w:val="false"/>
          <w:bCs w:val="false"/>
          <w:i w:val="false"/>
          <w:iCs w:val="false"/>
          <w:color w:val="1A1A1A"/>
          <w:sz w:val="22"/>
          <w:szCs w:val="22"/>
        </w:rPr>
        <w:t xml:space="preserve">Con la Comunidad de Madrid consolidada, expansión geográfica hacia Toledo, Guadalajara y posiblemente Ávila o Segovia. En Indiferente, construcción de una base de ingresos recurrentes empresariales que reduzca la dependencia de grandes contratos institucionales.</w:t>
      </w:r>
    </w:p>
    <w:p>
      <w:pPr>
        <w:pStyle w:val="Heading2"/>
        <w:spacing w:after="140" w:before="280"/>
      </w:pPr>
      <w:r>
        <w:rPr>
          <w:rFonts w:ascii="Arial" w:cs="Arial" w:eastAsia="Arial" w:hAnsi="Arial"/>
          <w:b/>
          <w:bCs/>
          <w:color w:val="2E86C1"/>
          <w:sz w:val="28"/>
          <w:szCs w:val="28"/>
        </w:rPr>
        <w:t xml:space="preserve">11.3 Visión a largo plazo (2029 en adelante)</w:t>
      </w:r>
    </w:p>
    <w:p>
      <w:pPr>
        <w:spacing w:after="60" w:before="60"/>
        <w:jc w:val="left"/>
      </w:pPr>
      <w:r>
        <w:rPr>
          <w:rFonts w:ascii="Arial" w:cs="Arial" w:eastAsia="Arial" w:hAnsi="Arial"/>
          <w:b w:val="false"/>
          <w:bCs w:val="false"/>
          <w:i w:val="false"/>
          <w:iCs w:val="false"/>
          <w:color w:val="1A1A1A"/>
          <w:sz w:val="22"/>
          <w:szCs w:val="22"/>
        </w:rPr>
        <w:t xml:space="preserve">Escalar los servicios a familias (TPT e IS) a toda España. Este horizonte requerirá un modelo organizativo diferente, probablemente con franquicias territoriales o estructura de dirección regional. Únete al Flow tiene potencial para convertirse en un programa de inserción laboral sistemático a escala nacional.</w:t>
      </w:r>
    </w:p>
    <w:p>
      <w:pPr>
        <w:pStyle w:val="Heading2"/>
        <w:spacing w:after="140" w:before="280"/>
      </w:pPr>
      <w:r>
        <w:rPr>
          <w:rFonts w:ascii="Arial" w:cs="Arial" w:eastAsia="Arial" w:hAnsi="Arial"/>
          <w:b/>
          <w:bCs/>
          <w:color w:val="2E86C1"/>
          <w:sz w:val="28"/>
          <w:szCs w:val="28"/>
        </w:rPr>
        <w:t xml:space="preserve">11.4 Los retos que más preocupan</w:t>
      </w:r>
    </w:p>
    <w:p>
      <w:pPr>
        <w:pStyle w:val="Heading3"/>
        <w:spacing w:after="100" w:before="200"/>
      </w:pPr>
      <w:r>
        <w:rPr>
          <w:rFonts w:ascii="Arial" w:cs="Arial" w:eastAsia="Arial" w:hAnsi="Arial"/>
          <w:b/>
          <w:bCs/>
          <w:color w:val="1A1A1A"/>
          <w:sz w:val="24"/>
          <w:szCs w:val="24"/>
        </w:rPr>
        <w:t xml:space="preserve">1. Inestabilidad financiera y flujos de caja</w:t>
      </w:r>
    </w:p>
    <w:p>
      <w:pPr>
        <w:spacing w:after="60" w:before="60"/>
        <w:jc w:val="left"/>
      </w:pPr>
      <w:r>
        <w:rPr>
          <w:rFonts w:ascii="Arial" w:cs="Arial" w:eastAsia="Arial" w:hAnsi="Arial"/>
          <w:b w:val="false"/>
          <w:bCs w:val="false"/>
          <w:i w:val="false"/>
          <w:iCs w:val="false"/>
          <w:color w:val="1A1A1A"/>
          <w:sz w:val="22"/>
          <w:szCs w:val="22"/>
        </w:rPr>
        <w:t xml:space="preserve">El gap entre prestación del servicio y cobro de la administración genera tensiones de liquidez recurrentes. La línea de cobro ágil mitiga el problema pero no lo resuelve estructuralmente.</w:t>
      </w:r>
    </w:p>
    <w:p>
      <w:pPr>
        <w:pStyle w:val="Heading3"/>
        <w:spacing w:after="100" w:before="200"/>
      </w:pPr>
      <w:r>
        <w:rPr>
          <w:rFonts w:ascii="Arial" w:cs="Arial" w:eastAsia="Arial" w:hAnsi="Arial"/>
          <w:b/>
          <w:bCs/>
          <w:color w:val="1A1A1A"/>
          <w:sz w:val="24"/>
          <w:szCs w:val="24"/>
        </w:rPr>
        <w:t xml:space="preserve">2. Dependencia política de los contratos institucionales</w:t>
      </w:r>
    </w:p>
    <w:p>
      <w:pPr>
        <w:spacing w:after="60" w:before="60"/>
        <w:jc w:val="left"/>
      </w:pPr>
      <w:r>
        <w:rPr>
          <w:rFonts w:ascii="Arial" w:cs="Arial" w:eastAsia="Arial" w:hAnsi="Arial"/>
          <w:b w:val="false"/>
          <w:bCs w:val="false"/>
          <w:i w:val="false"/>
          <w:iCs w:val="false"/>
          <w:color w:val="1A1A1A"/>
          <w:sz w:val="22"/>
          <w:szCs w:val="22"/>
        </w:rPr>
        <w:t xml:space="preserve">La concentración en clientes del PP y la vulnerabilidad ante cambios políticos en municipios clave es el riesgo más difícil de gestionar.</w:t>
      </w:r>
    </w:p>
    <w:p>
      <w:pPr>
        <w:pStyle w:val="Heading3"/>
        <w:spacing w:after="100" w:before="200"/>
      </w:pPr>
      <w:r>
        <w:rPr>
          <w:rFonts w:ascii="Arial" w:cs="Arial" w:eastAsia="Arial" w:hAnsi="Arial"/>
          <w:b/>
          <w:bCs/>
          <w:color w:val="1A1A1A"/>
          <w:sz w:val="24"/>
          <w:szCs w:val="24"/>
        </w:rPr>
        <w:t xml:space="preserve">3. Dependencia de David Rodríguez</w:t>
      </w:r>
    </w:p>
    <w:p>
      <w:pPr>
        <w:spacing w:after="60" w:before="60"/>
        <w:jc w:val="left"/>
      </w:pPr>
      <w:r>
        <w:rPr>
          <w:rFonts w:ascii="Arial" w:cs="Arial" w:eastAsia="Arial" w:hAnsi="Arial"/>
          <w:b w:val="false"/>
          <w:bCs w:val="false"/>
          <w:i w:val="false"/>
          <w:iCs w:val="false"/>
          <w:color w:val="1A1A1A"/>
          <w:sz w:val="22"/>
          <w:szCs w:val="22"/>
        </w:rPr>
        <w:t xml:space="preserve">David es el activo más valioso de la organización y también su punto de fallo único. No existe un plan de contingencia claro ni una estrategia sistemática para transferir capital de marca de David a la institución Pegasus.</w:t>
      </w:r>
    </w:p>
    <w:p>
      <w:pPr>
        <w:pStyle w:val="Heading3"/>
        <w:spacing w:after="100" w:before="200"/>
      </w:pPr>
      <w:r>
        <w:rPr>
          <w:rFonts w:ascii="Arial" w:cs="Arial" w:eastAsia="Arial" w:hAnsi="Arial"/>
          <w:b/>
          <w:bCs/>
          <w:color w:val="1A1A1A"/>
          <w:sz w:val="24"/>
          <w:szCs w:val="24"/>
        </w:rPr>
        <w:t xml:space="preserve">4. La accesibilidad económica como limitación de margen</w:t>
      </w:r>
    </w:p>
    <w:p>
      <w:pPr>
        <w:spacing w:after="60" w:before="60"/>
        <w:jc w:val="left"/>
      </w:pPr>
      <w:r>
        <w:rPr>
          <w:rFonts w:ascii="Arial" w:cs="Arial" w:eastAsia="Arial" w:hAnsi="Arial"/>
          <w:b w:val="false"/>
          <w:bCs w:val="false"/>
          <w:i w:val="false"/>
          <w:iCs w:val="false"/>
          <w:color w:val="1A1A1A"/>
          <w:sz w:val="22"/>
          <w:szCs w:val="22"/>
        </w:rPr>
        <w:t xml:space="preserve">Los precios de TPT e IS son tan bajos que no permiten generar el margen suficiente para autofinanciar el crecimiento. Toda la rentabilidad pasa por Indiferente.</w:t>
      </w:r>
    </w:p>
    <w:p>
      <w:pPr>
        <w:pStyle w:val="Heading3"/>
        <w:spacing w:after="100" w:before="200"/>
      </w:pPr>
      <w:r>
        <w:rPr>
          <w:rFonts w:ascii="Arial" w:cs="Arial" w:eastAsia="Arial" w:hAnsi="Arial"/>
          <w:b/>
          <w:bCs/>
          <w:color w:val="1A1A1A"/>
          <w:sz w:val="24"/>
          <w:szCs w:val="24"/>
        </w:rPr>
        <w:t xml:space="preserve">5. Retención de talento</w:t>
      </w:r>
    </w:p>
    <w:p>
      <w:pPr>
        <w:spacing w:after="60" w:before="60"/>
        <w:jc w:val="left"/>
      </w:pPr>
      <w:r>
        <w:rPr>
          <w:rFonts w:ascii="Arial" w:cs="Arial" w:eastAsia="Arial" w:hAnsi="Arial"/>
          <w:b w:val="false"/>
          <w:bCs w:val="false"/>
          <w:i w:val="false"/>
          <w:iCs w:val="false"/>
          <w:color w:val="1A1A1A"/>
          <w:sz w:val="22"/>
          <w:szCs w:val="22"/>
        </w:rPr>
        <w:t xml:space="preserve">Las jornadas parciales en TPT e IS y los salarios que no permiten vivir exclusivamente de Pegasus generan rotación y dificultan la construcción de un equipo arraigado en los valores de la organización.</w:t>
      </w:r>
    </w:p>
    <w:p>
      <w:pPr>
        <w:pStyle w:val="Heading3"/>
        <w:spacing w:after="100" w:before="200"/>
      </w:pPr>
      <w:r>
        <w:rPr>
          <w:rFonts w:ascii="Arial" w:cs="Arial" w:eastAsia="Arial" w:hAnsi="Arial"/>
          <w:b/>
          <w:bCs/>
          <w:color w:val="1A1A1A"/>
          <w:sz w:val="24"/>
          <w:szCs w:val="24"/>
        </w:rPr>
        <w:t xml:space="preserve">6. Análisis de precio pendiente</w:t>
      </w:r>
    </w:p>
    <w:p>
      <w:pPr>
        <w:spacing w:after="60" w:before="60"/>
        <w:jc w:val="left"/>
      </w:pPr>
      <w:r>
        <w:rPr>
          <w:rFonts w:ascii="Arial" w:cs="Arial" w:eastAsia="Arial" w:hAnsi="Arial"/>
          <w:b w:val="false"/>
          <w:bCs w:val="false"/>
          <w:i w:val="false"/>
          <w:iCs w:val="false"/>
          <w:color w:val="1A1A1A"/>
          <w:sz w:val="22"/>
          <w:szCs w:val="22"/>
        </w:rPr>
        <w:t xml:space="preserve">No se ha realizado un análisis exhaustivo de elasticidad de demanda. No se sabe con certeza cuánto pueden subirse los precios sin perder familias.</w:t>
      </w:r>
    </w:p>
    <w:p>
      <w:pPr>
        <w:pStyle w:val="Heading2"/>
        <w:spacing w:after="140" w:before="280"/>
      </w:pPr>
      <w:r>
        <w:rPr>
          <w:rFonts w:ascii="Arial" w:cs="Arial" w:eastAsia="Arial" w:hAnsi="Arial"/>
          <w:b/>
          <w:bCs/>
          <w:color w:val="2E86C1"/>
          <w:sz w:val="28"/>
          <w:szCs w:val="28"/>
        </w:rPr>
        <w:t xml:space="preserve">11.5 Oportunidades no explotadas</w:t>
      </w:r>
    </w:p>
    <w:p>
      <w:pPr>
        <w:pStyle w:val="ListParagraph"/>
        <w:numPr>
          <w:ilvl w:val="0"/>
          <w:numId w:val="2"/>
        </w:numPr>
        <w:spacing w:after="40" w:before="40"/>
      </w:pPr>
      <w:r>
        <w:rPr>
          <w:rFonts w:ascii="Arial" w:cs="Arial" w:eastAsia="Arial" w:hAnsi="Arial"/>
          <w:color w:val="1A1A1A"/>
          <w:sz w:val="22"/>
          <w:szCs w:val="22"/>
        </w:rPr>
        <w:t xml:space="preserve">Plan Bienestar Corporativo: primera fuente de ingresos recurrentes empresariales de Indiferente si se lanza y escala.</w:t>
      </w:r>
    </w:p>
    <w:p>
      <w:pPr>
        <w:pStyle w:val="ListParagraph"/>
        <w:numPr>
          <w:ilvl w:val="0"/>
          <w:numId w:val="2"/>
        </w:numPr>
        <w:spacing w:after="40" w:before="40"/>
      </w:pPr>
      <w:r>
        <w:rPr>
          <w:rFonts w:ascii="Arial" w:cs="Arial" w:eastAsia="Arial" w:hAnsi="Arial"/>
          <w:color w:val="1A1A1A"/>
          <w:sz w:val="22"/>
          <w:szCs w:val="22"/>
        </w:rPr>
        <w:t xml:space="preserve">Transferencia de la marca personal de David a la marca institucional: 40.000 seguidores de diferencia que pueden reducirse con una estrategia deliberada.</w:t>
      </w:r>
    </w:p>
    <w:p>
      <w:pPr>
        <w:pStyle w:val="ListParagraph"/>
        <w:numPr>
          <w:ilvl w:val="0"/>
          <w:numId w:val="2"/>
        </w:numPr>
        <w:spacing w:after="40" w:before="40"/>
      </w:pPr>
      <w:r>
        <w:rPr>
          <w:rFonts w:ascii="Arial" w:cs="Arial" w:eastAsia="Arial" w:hAnsi="Arial"/>
          <w:color w:val="1A1A1A"/>
          <w:sz w:val="22"/>
          <w:szCs w:val="22"/>
        </w:rPr>
        <w:t xml:space="preserve">El Consejo Asesor como palanca de apertura empresarial para contratos de Indiferente.</w:t>
      </w:r>
    </w:p>
    <w:p>
      <w:pPr>
        <w:pStyle w:val="ListParagraph"/>
        <w:numPr>
          <w:ilvl w:val="0"/>
          <w:numId w:val="2"/>
        </w:numPr>
        <w:spacing w:after="40" w:before="40"/>
      </w:pPr>
      <w:r>
        <w:rPr>
          <w:rFonts w:ascii="Arial" w:cs="Arial" w:eastAsia="Arial" w:hAnsi="Arial"/>
          <w:color w:val="1A1A1A"/>
          <w:sz w:val="22"/>
          <w:szCs w:val="22"/>
        </w:rPr>
        <w:t xml:space="preserve">Expansión del modelo "Municipios que te cuidan" a más núcleos rurales.</w:t>
      </w:r>
    </w:p>
    <w:p>
      <w:pPr>
        <w:pStyle w:val="ListParagraph"/>
        <w:numPr>
          <w:ilvl w:val="0"/>
          <w:numId w:val="2"/>
        </w:numPr>
        <w:spacing w:after="40" w:before="40"/>
      </w:pPr>
      <w:r>
        <w:rPr>
          <w:rFonts w:ascii="Arial" w:cs="Arial" w:eastAsia="Arial" w:hAnsi="Arial"/>
          <w:color w:val="1A1A1A"/>
          <w:sz w:val="22"/>
          <w:szCs w:val="22"/>
        </w:rPr>
        <w:t xml:space="preserve">Desarrollo de la inserción laboral más allá de la restauración.</w:t>
      </w:r>
    </w:p>
    <w:p>
      <w:r>
        <w:br w:type="page"/>
      </w:r>
    </w:p>
    <w:p>
      <w:pPr>
        <w:pStyle w:val="Heading1"/>
        <w:pBdr>
          <w:bottom w:val="single" w:color="7B2FBE" w:sz="4"/>
        </w:pBdr>
        <w:spacing w:after="200" w:before="400"/>
      </w:pPr>
      <w:r>
        <w:rPr>
          <w:rFonts w:ascii="Arial" w:cs="Arial" w:eastAsia="Arial" w:hAnsi="Arial"/>
          <w:b/>
          <w:bCs/>
          <w:color w:val="7B2FBE"/>
          <w:sz w:val="36"/>
          <w:szCs w:val="36"/>
        </w:rPr>
        <w:t xml:space="preserve">12. APRENDIZAJES CLAVE Y PUNTOS CIEGOS</w:t>
      </w:r>
    </w:p>
    <w:p>
      <w:pPr>
        <w:pStyle w:val="Heading2"/>
        <w:spacing w:after="140" w:before="280"/>
      </w:pPr>
      <w:r>
        <w:rPr>
          <w:rFonts w:ascii="Arial" w:cs="Arial" w:eastAsia="Arial" w:hAnsi="Arial"/>
          <w:b/>
          <w:bCs/>
          <w:color w:val="2E86C1"/>
          <w:sz w:val="28"/>
          <w:szCs w:val="28"/>
        </w:rPr>
        <w:t xml:space="preserve">12.1 Lo que ha demostrado funcionar</w:t>
      </w:r>
    </w:p>
    <w:p>
      <w:pPr>
        <w:pStyle w:val="ListParagraph"/>
        <w:numPr>
          <w:ilvl w:val="0"/>
          <w:numId w:val="2"/>
        </w:numPr>
        <w:spacing w:after="40" w:before="40"/>
      </w:pPr>
      <w:r>
        <w:rPr>
          <w:rFonts w:ascii="Arial" w:cs="Arial" w:eastAsia="Arial" w:hAnsi="Arial"/>
          <w:color w:val="1A1A1A"/>
          <w:sz w:val="22"/>
          <w:szCs w:val="22"/>
        </w:rPr>
        <w:t xml:space="preserve">El modelo de cesión de espacios con ayuntamientos elimina el mayor coste de estructura y permite precios accesibles.</w:t>
      </w:r>
    </w:p>
    <w:p>
      <w:pPr>
        <w:pStyle w:val="ListParagraph"/>
        <w:numPr>
          <w:ilvl w:val="0"/>
          <w:numId w:val="2"/>
        </w:numPr>
        <w:spacing w:after="40" w:before="40"/>
      </w:pPr>
      <w:r>
        <w:rPr>
          <w:rFonts w:ascii="Arial" w:cs="Arial" w:eastAsia="Arial" w:hAnsi="Arial"/>
          <w:color w:val="1A1A1A"/>
          <w:sz w:val="22"/>
          <w:szCs w:val="22"/>
        </w:rPr>
        <w:t xml:space="preserve">La metodología de inteligencia emocional + juego genera un diferencial real frente a cualquier competidor del sector.</w:t>
      </w:r>
    </w:p>
    <w:p>
      <w:pPr>
        <w:pStyle w:val="ListParagraph"/>
        <w:numPr>
          <w:ilvl w:val="0"/>
          <w:numId w:val="2"/>
        </w:numPr>
        <w:spacing w:after="40" w:before="40"/>
      </w:pPr>
      <w:r>
        <w:rPr>
          <w:rFonts w:ascii="Arial" w:cs="Arial" w:eastAsia="Arial" w:hAnsi="Arial"/>
          <w:color w:val="1A1A1A"/>
          <w:sz w:val="22"/>
          <w:szCs w:val="22"/>
        </w:rPr>
        <w:t xml:space="preserve">El reposicionamiento de Indiferente hacia el canal institucional ha demostrado resultados.</w:t>
      </w:r>
    </w:p>
    <w:p>
      <w:pPr>
        <w:pStyle w:val="ListParagraph"/>
        <w:numPr>
          <w:ilvl w:val="0"/>
          <w:numId w:val="2"/>
        </w:numPr>
        <w:spacing w:after="40" w:before="40"/>
      </w:pPr>
      <w:r>
        <w:rPr>
          <w:rFonts w:ascii="Arial" w:cs="Arial" w:eastAsia="Arial" w:hAnsi="Arial"/>
          <w:color w:val="1A1A1A"/>
          <w:sz w:val="22"/>
          <w:szCs w:val="22"/>
        </w:rPr>
        <w:t xml:space="preserve">Las dinámicas emocionales internas semanales generan cohesión y reducen el burnout.</w:t>
      </w:r>
    </w:p>
    <w:p>
      <w:pPr>
        <w:pStyle w:val="ListParagraph"/>
        <w:numPr>
          <w:ilvl w:val="0"/>
          <w:numId w:val="2"/>
        </w:numPr>
        <w:spacing w:after="40" w:before="40"/>
      </w:pPr>
      <w:r>
        <w:rPr>
          <w:rFonts w:ascii="Arial" w:cs="Arial" w:eastAsia="Arial" w:hAnsi="Arial"/>
          <w:color w:val="1A1A1A"/>
          <w:sz w:val="22"/>
          <w:szCs w:val="22"/>
        </w:rPr>
        <w:t xml:space="preserve">La historia personal de David es la herramienta de ventas más poderosa de la organización.</w:t>
      </w:r>
    </w:p>
    <w:p>
      <w:pPr>
        <w:pStyle w:val="ListParagraph"/>
        <w:numPr>
          <w:ilvl w:val="0"/>
          <w:numId w:val="2"/>
        </w:numPr>
        <w:spacing w:after="40" w:before="40"/>
      </w:pPr>
      <w:r>
        <w:rPr>
          <w:rFonts w:ascii="Arial" w:cs="Arial" w:eastAsia="Arial" w:hAnsi="Arial"/>
          <w:color w:val="1A1A1A"/>
          <w:sz w:val="22"/>
          <w:szCs w:val="22"/>
        </w:rPr>
        <w:t xml:space="preserve">Apostar por contratos indefinidos mejora la calidad del servicio y la fidelidad de los trabajadores.</w:t>
      </w:r>
    </w:p>
    <w:p>
      <w:pPr>
        <w:pStyle w:val="Heading2"/>
        <w:spacing w:after="140" w:before="280"/>
      </w:pPr>
      <w:r>
        <w:rPr>
          <w:rFonts w:ascii="Arial" w:cs="Arial" w:eastAsia="Arial" w:hAnsi="Arial"/>
          <w:b/>
          <w:bCs/>
          <w:color w:val="2E86C1"/>
          <w:sz w:val="28"/>
          <w:szCs w:val="28"/>
        </w:rPr>
        <w:t xml:space="preserve">12.2 Lo que ha generado aprendizajes difíciles</w:t>
      </w:r>
    </w:p>
    <w:p>
      <w:pPr>
        <w:pStyle w:val="ListParagraph"/>
        <w:numPr>
          <w:ilvl w:val="0"/>
          <w:numId w:val="2"/>
        </w:numPr>
        <w:spacing w:after="40" w:before="40"/>
      </w:pPr>
      <w:r>
        <w:rPr>
          <w:rFonts w:ascii="Arial" w:cs="Arial" w:eastAsia="Arial" w:hAnsi="Arial"/>
          <w:color w:val="1A1A1A"/>
          <w:sz w:val="22"/>
          <w:szCs w:val="22"/>
        </w:rPr>
        <w:t xml:space="preserve">Contratar equipo antes de tener la demanda cubierta genera pérdidas contables que se recuperan cuando se llena la ocupación.</w:t>
      </w:r>
    </w:p>
    <w:p>
      <w:pPr>
        <w:pStyle w:val="ListParagraph"/>
        <w:numPr>
          <w:ilvl w:val="0"/>
          <w:numId w:val="2"/>
        </w:numPr>
        <w:spacing w:after="40" w:before="40"/>
      </w:pPr>
      <w:r>
        <w:rPr>
          <w:rFonts w:ascii="Arial" w:cs="Arial" w:eastAsia="Arial" w:hAnsi="Arial"/>
          <w:color w:val="1A1A1A"/>
          <w:sz w:val="22"/>
          <w:szCs w:val="22"/>
        </w:rPr>
        <w:t xml:space="preserve">La irregularidad de ingresos de Indiferente hace muy difícil la planificación financiera a más de 6 meses.</w:t>
      </w:r>
    </w:p>
    <w:p>
      <w:pPr>
        <w:pStyle w:val="ListParagraph"/>
        <w:numPr>
          <w:ilvl w:val="0"/>
          <w:numId w:val="2"/>
        </w:numPr>
        <w:spacing w:after="40" w:before="40"/>
      </w:pPr>
      <w:r>
        <w:rPr>
          <w:rFonts w:ascii="Arial" w:cs="Arial" w:eastAsia="Arial" w:hAnsi="Arial"/>
          <w:color w:val="1A1A1A"/>
          <w:sz w:val="22"/>
          <w:szCs w:val="22"/>
        </w:rPr>
        <w:t xml:space="preserve">El Cultural Identity Book de 2025 demuestra que es posible definir una cultura potente en papel, pero trasladarla al equipo requiere tiempo y recursos que la operativa no siempre permite.</w:t>
      </w:r>
    </w:p>
    <w:p>
      <w:pPr>
        <w:pStyle w:val="Heading2"/>
        <w:spacing w:after="140" w:before="280"/>
      </w:pPr>
      <w:r>
        <w:rPr>
          <w:rFonts w:ascii="Arial" w:cs="Arial" w:eastAsia="Arial" w:hAnsi="Arial"/>
          <w:b/>
          <w:bCs/>
          <w:color w:val="2E86C1"/>
          <w:sz w:val="28"/>
          <w:szCs w:val="28"/>
        </w:rPr>
        <w:t xml:space="preserve">12.3 Puntos ciegos identificados</w:t>
      </w:r>
    </w:p>
    <w:p>
      <w:pPr>
        <w:pStyle w:val="ListParagraph"/>
        <w:numPr>
          <w:ilvl w:val="0"/>
          <w:numId w:val="2"/>
        </w:numPr>
        <w:spacing w:after="40" w:before="40"/>
      </w:pPr>
      <w:r>
        <w:rPr>
          <w:rFonts w:ascii="Arial" w:cs="Arial" w:eastAsia="Arial" w:hAnsi="Arial"/>
          <w:color w:val="1A1A1A"/>
          <w:sz w:val="22"/>
          <w:szCs w:val="22"/>
        </w:rPr>
        <w:t xml:space="preserve">No existe un análisis de precio de mercado que responda a cuánto podríamos cobrar sin perder familias.</w:t>
      </w:r>
    </w:p>
    <w:p>
      <w:pPr>
        <w:pStyle w:val="ListParagraph"/>
        <w:numPr>
          <w:ilvl w:val="0"/>
          <w:numId w:val="2"/>
        </w:numPr>
        <w:spacing w:after="40" w:before="40"/>
      </w:pPr>
      <w:r>
        <w:rPr>
          <w:rFonts w:ascii="Arial" w:cs="Arial" w:eastAsia="Arial" w:hAnsi="Arial"/>
          <w:color w:val="1A1A1A"/>
          <w:sz w:val="22"/>
          <w:szCs w:val="22"/>
        </w:rPr>
        <w:t xml:space="preserve">No se ha medido el NPS ni la satisfacción de las familias de forma sistemática.</w:t>
      </w:r>
    </w:p>
    <w:p>
      <w:pPr>
        <w:pStyle w:val="ListParagraph"/>
        <w:numPr>
          <w:ilvl w:val="0"/>
          <w:numId w:val="2"/>
        </w:numPr>
        <w:spacing w:after="40" w:before="40"/>
      </w:pPr>
      <w:r>
        <w:rPr>
          <w:rFonts w:ascii="Arial" w:cs="Arial" w:eastAsia="Arial" w:hAnsi="Arial"/>
          <w:color w:val="1A1A1A"/>
          <w:sz w:val="22"/>
          <w:szCs w:val="22"/>
        </w:rPr>
        <w:t xml:space="preserve">No existe un plan de contingencia documentado para el escenario de baja de David.</w:t>
      </w:r>
    </w:p>
    <w:p>
      <w:pPr>
        <w:pStyle w:val="ListParagraph"/>
        <w:numPr>
          <w:ilvl w:val="0"/>
          <w:numId w:val="2"/>
        </w:numPr>
        <w:spacing w:after="40" w:before="40"/>
      </w:pPr>
      <w:r>
        <w:rPr>
          <w:rFonts w:ascii="Arial" w:cs="Arial" w:eastAsia="Arial" w:hAnsi="Arial"/>
          <w:color w:val="1A1A1A"/>
          <w:sz w:val="22"/>
          <w:szCs w:val="22"/>
        </w:rPr>
        <w:t xml:space="preserve">El Plan Bienestar Corporativo lleva tiempo en desarrollo sin haber llegado a MVP. Urgente decidir si se lanza o se descarta.</w:t>
      </w:r>
    </w:p>
    <w:p>
      <w:pPr>
        <w:pStyle w:val="ListParagraph"/>
        <w:numPr>
          <w:ilvl w:val="0"/>
          <w:numId w:val="2"/>
        </w:numPr>
        <w:spacing w:after="40" w:before="40"/>
      </w:pPr>
      <w:r>
        <w:rPr>
          <w:rFonts w:ascii="Arial" w:cs="Arial" w:eastAsia="Arial" w:hAnsi="Arial"/>
          <w:color w:val="1A1A1A"/>
          <w:sz w:val="22"/>
          <w:szCs w:val="22"/>
        </w:rPr>
        <w:t xml:space="preserve">La fricción del modelo de compromiso anual en TPT no ha sido cuantificada.</w:t>
      </w:r>
    </w:p>
    <w:p>
      <w:pPr>
        <w:pStyle w:val="ListParagraph"/>
        <w:numPr>
          <w:ilvl w:val="0"/>
          <w:numId w:val="2"/>
        </w:numPr>
        <w:spacing w:after="40" w:before="40"/>
      </w:pPr>
      <w:r>
        <w:rPr>
          <w:rFonts w:ascii="Arial" w:cs="Arial" w:eastAsia="Arial" w:hAnsi="Arial"/>
          <w:color w:val="1A1A1A"/>
          <w:sz w:val="22"/>
          <w:szCs w:val="22"/>
        </w:rPr>
        <w:t xml:space="preserve">No hay estrategia explícita para captar contratos con ayuntamientos de signo político diferente al PP.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FBE" w:val="clear"/>
            <w:tcMar>
              <w:top w:type="dxa" w:w="120"/>
              <w:left w:type="dxa" w:w="240"/>
              <w:bottom w:type="dxa" w:w="120"/>
              <w:right w:type="dxa" w:w="240"/>
            </w:tcMar>
          </w:tcPr>
          <w:p>
            <w:pPr>
              <w:jc w:val="center"/>
            </w:pPr>
            <w:r>
              <w:rPr>
                <w:rFonts w:ascii="Arial" w:cs="Arial" w:eastAsia="Arial" w:hAnsi="Arial"/>
                <w:b/>
                <w:bCs/>
                <w:color w:val="FFFFFF"/>
                <w:sz w:val="28"/>
                <w:szCs w:val="28"/>
              </w:rPr>
              <w:t xml:space="preserve">PARTE V — REFERENCIA</w:t>
            </w:r>
          </w:p>
        </w:tc>
      </w:tr>
    </w:tbl>
    <w:p>
      <w:pPr>
        <w:spacing w:after="40" w:before="40"/>
      </w:pPr>
      <w:r>
        <w:t xml:space="preserve"/>
      </w:r>
    </w:p>
    <w:p>
      <w:pPr>
        <w:pStyle w:val="Heading1"/>
        <w:pBdr>
          <w:bottom w:val="single" w:color="7B2FBE" w:sz="4"/>
        </w:pBdr>
        <w:spacing w:after="200" w:before="400"/>
      </w:pPr>
      <w:r>
        <w:rPr>
          <w:rFonts w:ascii="Arial" w:cs="Arial" w:eastAsia="Arial" w:hAnsi="Arial"/>
          <w:b/>
          <w:bCs/>
          <w:color w:val="7B2FBE"/>
          <w:sz w:val="36"/>
          <w:szCs w:val="36"/>
        </w:rPr>
        <w:t xml:space="preserve">13. GLOSARIO Y TÉRMINOS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Término</w:t>
            </w:r>
          </w:p>
        </w:tc>
        <w:tc>
          <w:tcPr>
            <w:tcW w:type="dxa" w:w="6960"/>
            <w:tcBorders>
              <w:top w:val="single" w:color="7B2FBE" w:sz="1"/>
              <w:left w:val="single" w:color="7B2FBE" w:sz="1"/>
              <w:bottom w:val="single" w:color="7B2FBE" w:sz="1"/>
              <w:right w:val="single" w:color="7B2FBE"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Definición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TPT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Terapia Para Todos. Vertical de servicios terapéuticos accesibles para personas con y sin discapacidad.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Inclusive Sport. Vertical de deporte y ocio inclusivo.</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Indiferente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Consultoría de diversidad e inclusión para empresas y administraciones. Diferencial: metodología IE + Juego + Humor.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FMM</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Federación Madrileña de Municipios. Principal partner institucional de Pegasus.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CCMM</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Comunidad de Madrid. Segundo gran cliente institucional.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LTV</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Lifetime Value. Valor de vida del cliente. En TPT e IS es muy alto por la cronicidad de las necesidades.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Break-even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Punto de equilibrio entre ingresos y costes. En TPT está al 73% de ocupación.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Cobro ágil</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Línea de crédito para financiar el gap de 45-60 días entre prestación del servicio y cobro de AAPP.</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Triaje IS/TPT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Herramienta metodológica (no clínica) que clasifica a los usuarios según perfil de comunicación, autonomía física, desarrollo sensorial y conductual. Determina ratio, metodología educativa y adaptaciones.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TAME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Tiempo de Acción Motriz Efectiva. Mide el tiempo real que cada usuario está realizando la actividad objetivo en IS. Se maximiza rediseñando juegos para que todos participen simultáneamente.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Flow</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Estilo de comunicación dinámico, activo y llamativo que deben mantener los profesionales de Pegasus en todas las sesiones e interacciones.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Círculo de Influencia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Espacio máximo de dos brazadas entre el profesional y cualquier usuario durante sesiones de IS. Garantiza calidad, aprendizaje y seguridad.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Efecto Waouh</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Concepto que describe el impacto visual y emocional que debe generar el material en las sesiones de IS y TPT. Material explícito, gigante, atractivo, variable y ambientado.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Sandwich (técnica)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Estructura de sesión en TPT que coloca elementos positivos al inicio y al final, con el trabajo más exigente en el núcleo. Garantiza una Valencia Positiva global.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Saludo Pegasus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Ritual de saludo corporativo: choque de puños acompañado de roce de dedos con sonido de viento. Se hace con el usuario y, cuando el vínculo es maduro, también con el familiar.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Micro Pegasus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Elemento físico (tipo micrófono) que se pasa entre participantes para marcar el turno de palabra durante el diálogo del calentamiento.</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Aprendizaje enmascarado</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Principio metodológico de TPT: el aprendizaje terapéutico ocurre a través del juego de forma que el usuario no percibe directamente el carácter terapéutico de la actividad.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Valencia positiva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Principio metodológico de TPT: la experiencia global de cada sesión debe ser percibida como agradable y beneficiosa, aunque contenga momentos de reto o frustración.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PiscinaSUS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Nombre propio de las sesiones de natación adaptada de IS.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GimnaSUS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Nombre propio de las sesiones de acondicionamiento físico de IS.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Terapia Integral</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Modalidad de TPT disponible en municipios FMM. Un terapeuta ocupacional presencial apoyado remotamente por logopeda, psicólogo y fisioterapeuta.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 Bienestar Corporativo</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Servicio de Indiferente en fase de MVP. Sesiones de psicología online para empleados de empresas cliente.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Únete al Flow</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Vertical de restauración inclusiva e inserción laboral, en alianza con Black Bull.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ERG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Employee Resource Group. Grupo de empleados por afinidad dentro de una empresa. Uno de los servicios de consultoría de Indiferente.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Cultural Identity Book</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Documento de identidad cultural de Pegasus desarrollado en 2025, pendiente de implementación interna sistemática.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Diparesia espástica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Condición de David Rodríguez. Dificultad en el movimiento de los miembros inferiores por espasticidad muscular.</w:t>
            </w:r>
          </w:p>
        </w:tc>
      </w:tr>
    </w:tbl>
    <w:p>
      <w:pPr>
        <w:spacing w:after="40" w:before="40"/>
      </w:pPr>
      <w:r>
        <w:t xml:space="preserve"/>
      </w:r>
    </w:p>
    <w:p>
      <w:pPr>
        <w:spacing w:after="40" w:before="40"/>
      </w:pPr>
      <w:r>
        <w:t xml:space="preserve"/>
      </w:r>
    </w:p>
    <w:p>
      <w:pPr>
        <w:spacing w:after="100" w:before="400"/>
        <w:jc w:val="center"/>
      </w:pPr>
      <w:r>
        <w:rPr>
          <w:rFonts w:ascii="Arial" w:cs="Arial" w:eastAsia="Arial" w:hAnsi="Arial"/>
          <w:b/>
          <w:bCs/>
          <w:color w:val="555555"/>
          <w:sz w:val="22"/>
          <w:szCs w:val="22"/>
        </w:rPr>
        <w:t xml:space="preserve">— FIN DEL DOCUMENTO —</w:t>
      </w:r>
    </w:p>
    <w:p>
      <w:pPr>
        <w:spacing w:after="60" w:before="60"/>
        <w:jc w:val="center"/>
      </w:pPr>
      <w:r>
        <w:rPr>
          <w:rFonts w:ascii="Arial" w:cs="Arial" w:eastAsia="Arial" w:hAnsi="Arial"/>
          <w:color w:val="555555"/>
          <w:sz w:val="20"/>
          <w:szCs w:val="20"/>
        </w:rPr>
        <w:t xml:space="preserve">Fundación Pegasus · Manual Integral de Organización · Versión 10.0 · Abril 2026</w:t>
      </w:r>
    </w:p>
    <w:p>
      <w:pPr>
        <w:spacing w:after="40" w:before="40"/>
        <w:jc w:val="center"/>
      </w:pPr>
      <w:r>
        <w:rPr>
          <w:rFonts w:ascii="Arial" w:cs="Arial" w:eastAsia="Arial" w:hAnsi="Arial"/>
          <w:b/>
          <w:bCs/>
          <w:color w:val="C0392B"/>
          <w:sz w:val="20"/>
          <w:szCs w:val="20"/>
        </w:rPr>
        <w:t xml:space="preserve">DOCUMENTO CONFIDENCIAL — USO INTERNO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tabs>
        <w:tab w:val="right" w:pos="9026"/>
      </w:tabs>
      <w:spacing w:before="80"/>
    </w:pPr>
    <w:r>
      <w:rPr>
        <w:rFonts w:ascii="Arial" w:cs="Arial" w:eastAsia="Arial" w:hAnsi="Arial"/>
        <w:color w:val="555555"/>
        <w:sz w:val="16"/>
        <w:szCs w:val="16"/>
      </w:rPr>
      <w:t xml:space="preserve">Uso interno — Prohibida su reproducción o distribución sin autorización expresa de la dirección.</w:t>
    </w:r>
    <w:r>
      <w:rPr>
        <w:rFonts w:ascii="Arial" w:cs="Arial" w:eastAsia="Arial" w:hAnsi="Arial"/>
        <w:sz w:val="16"/>
        <w:szCs w:val="16"/>
      </w:rPr>
      <w:t xml:space="preserve">	</w:t>
    </w:r>
    <w:r>
      <w:rPr>
        <w:rFonts w:ascii="Arial" w:cs="Arial" w:eastAsia="Arial" w:hAnsi="Arial"/>
        <w:color w:val="555555"/>
        <w:sz w:val="16"/>
        <w:szCs w:val="16"/>
      </w:rPr>
      <w:t xml:space="preserve">Página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pBdr>
      <w:tabs>
        <w:tab w:val="right" w:pos="9026"/>
      </w:tabs>
      <w:spacing w:after="80"/>
    </w:pPr>
    <w:r>
      <w:rPr>
        <w:rFonts w:ascii="Arial" w:cs="Arial" w:eastAsia="Arial" w:hAnsi="Arial"/>
        <w:color w:val="555555"/>
        <w:sz w:val="18"/>
        <w:szCs w:val="18"/>
      </w:rPr>
      <w:t xml:space="preserve">FUNDACIÓN PEGASUS — Manual Integral de Organización V10.0</w:t>
    </w:r>
    <w:r>
      <w:rPr>
        <w:rFonts w:ascii="Arial" w:cs="Arial" w:eastAsia="Arial" w:hAnsi="Arial"/>
        <w:sz w:val="18"/>
        <w:szCs w:val="18"/>
      </w:rPr>
      <w:t xml:space="preserve">	</w:t>
    </w:r>
    <w:r>
      <w:rPr>
        <w:rFonts w:ascii="Arial" w:cs="Arial" w:eastAsia="Arial" w:hAnsi="Arial"/>
        <w:b/>
        <w:bCs/>
        <w:color w:val="C0392B"/>
        <w:sz w:val="18"/>
        <w:szCs w:val="18"/>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7B2FB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2026-04-20T10:17:24.934Z</dcterms:created>
  <dcterms:modified xsi:type="dcterms:W3CDTF">2026-04-20T10:17:24.935Z</dcterms:modified>
</cp:coreProperties>
</file>

<file path=docProps/custom.xml><?xml version="1.0" encoding="utf-8"?>
<Properties xmlns="http://schemas.openxmlformats.org/officeDocument/2006/custom-properties" xmlns:vt="http://schemas.openxmlformats.org/officeDocument/2006/docPropsVTypes"/>
</file>