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480" w:after="240"/>
        <w:jc w:val="center"/>
      </w:pPr>
      <w:r>
        <w:rPr>
          <w:rFonts w:ascii="Arial" w:cs="Arial" w:eastAsia="Arial" w:hAnsi="Arial"/>
          <w:b/>
          <w:bCs/>
          <w:color w:val="1F3864"/>
          <w:sz w:val="60"/>
          <w:szCs w:val="60"/>
        </w:rPr>
        <w:t xml:space="preserve">FUNDACIÓN PEGASUS</w:t>
      </w:r>
    </w:p>
    <w:p>
      <w:pPr>
        <w:spacing w:before="120" w:after="480"/>
        <w:jc w:val="center"/>
      </w:pPr>
      <w:r>
        <w:rPr>
          <w:rFonts w:ascii="Arial" w:cs="Arial" w:eastAsia="Arial" w:hAnsi="Arial"/>
          <w:b/>
          <w:bCs/>
          <w:color w:val="2E75B6"/>
          <w:sz w:val="36"/>
          <w:szCs w:val="36"/>
        </w:rPr>
        <w:t xml:space="preserve">MANUAL INTEGRAL DE ORGANIZACIÓN</w:t>
      </w:r>
    </w:p>
    <w:p>
      <w:pPr>
        <w:pBdr>
          <w:bottom w:val="single" w:color="2E75B6" w:sz="6" w:space="4"/>
        </w:pBdr>
        <w:spacing w:before="0" w:after="480"/>
        <w:jc w:val="center"/>
      </w:pPr>
      <w:r>
        <w:rPr>
          <w:sz w:val="24"/>
          <w:szCs w:val="24"/>
        </w:rPr>
        <w:t xml:space="preserve"/>
      </w:r>
    </w:p>
    <w:p>
      <w:pPr>
        <w:spacing w:before="480" w:after="240"/>
        <w:jc w:val="center"/>
      </w:pPr>
      <w:r>
        <w:rPr>
          <w:rFonts w:ascii="Arial" w:cs="Arial" w:eastAsia="Arial" w:hAnsi="Arial"/>
          <w:i/>
          <w:iCs/>
          <w:color w:val="555555"/>
          <w:sz w:val="28"/>
          <w:szCs w:val="28"/>
        </w:rPr>
        <w:t xml:space="preserve">"Lo mío no es normal, pero lo tuyo tampoco."</w:t>
      </w:r>
    </w:p>
    <w:p>
      <w:pPr>
        <w:spacing w:before="120" w:after="120"/>
      </w:pPr>
      <w:r>
        <w:t xml:space="preserve"/>
      </w:r>
    </w:p>
    <w:p>
      <w:pPr>
        <w:spacing w:before="120" w:after="120"/>
      </w:pPr>
      <w:r>
        <w:t xml:space="preserve"/>
      </w:r>
    </w:p>
    <w:p>
      <w:pPr>
        <w:spacing w:before="120" w:after="120"/>
      </w:pPr>
      <w:r>
        <w:t xml:space="preserve"/>
      </w:r>
    </w:p>
    <w:p>
      <w:pPr>
        <w:spacing w:before="120" w:after="120"/>
      </w:pPr>
      <w:r>
        <w:t xml:space="preserve"/>
      </w:r>
    </w:p>
    <w:p>
      <w:pPr>
        <w:jc w:val="center"/>
      </w:pPr>
      <w:r>
        <w:rPr>
          <w:rFonts w:ascii="Arial" w:cs="Arial" w:eastAsia="Arial" w:hAnsi="Arial"/>
          <w:color w:val="888888"/>
          <w:sz w:val="22"/>
          <w:szCs w:val="22"/>
        </w:rPr>
        <w:t xml:space="preserve">Versión 1.0 — Marzo 2026</w:t>
      </w:r>
    </w:p>
    <w:p>
      <w:pPr>
        <w:spacing w:before="120" w:after="0"/>
        <w:jc w:val="center"/>
      </w:pPr>
      <w:r>
        <w:rPr>
          <w:rFonts w:ascii="Arial" w:cs="Arial" w:eastAsia="Arial" w:hAnsi="Arial"/>
          <w:b/>
          <w:bCs/>
          <w:color w:val="CC0000"/>
          <w:sz w:val="22"/>
          <w:szCs w:val="22"/>
        </w:rPr>
        <w:t xml:space="preserve">DOCUMENTO CONFIDENCIAL</w:t>
      </w:r>
    </w:p>
    <w:p>
      <w:r>
        <w:br w:type="page"/>
      </w:r>
    </w:p>
    <w:p>
      <w:pPr>
        <w:pStyle w:val="Heading1"/>
        <w:pBdr>
          <w:bottom w:val="single" w:color="2E75B6" w:sz="8" w:space="4"/>
        </w:pBdr>
        <w:spacing w:before="240" w:after="240"/>
      </w:pPr>
      <w:r>
        <w:rPr>
          <w:rFonts w:ascii="Arial" w:cs="Arial" w:eastAsia="Arial" w:hAnsi="Arial"/>
          <w:b/>
          <w:bCs/>
          <w:color w:val="1F3864"/>
          <w:sz w:val="36"/>
          <w:szCs w:val="36"/>
        </w:rPr>
        <w:t>ÍNDICE DE CONTENIDOS</w:t>
      </w:r>
    </w:p>
    <w:p>
      <w:pPr>
        <w:spacing w:before="180" w:after="60"/>
      </w:pPr>
      <w:r>
        <w:rPr>
          <w:rFonts w:ascii="Arial" w:cs="Arial" w:eastAsia="Arial" w:hAnsi="Arial"/>
          <w:b/>
          <w:color w:val="2E75B6"/>
          <w:sz w:val="20"/>
          <w:szCs w:val="20"/>
          <w:caps/>
        </w:rPr>
        <w:t xml:space="preserve">PARTE I — QUIÉNES SOMOS</w:t>
      </w:r>
    </w:p>
    <w:p>
      <w:pPr>
        <w:spacing w:before="60" w:after="60"/>
        <w:ind w:left="0"/>
      </w:pPr>
      <w:hyperlink w:anchor="chapter_ch1" w:history="1">
        <w:r>
          <w:rPr>
            <w:rStyle w:val="Hyperlink"/>
            <w:rFonts w:ascii="Arial" w:cs="Arial" w:eastAsia="Arial" w:hAnsi="Arial"/>
            <w:b/>
            <w:bCs/>
            <w:sz w:val="22"/>
            <w:szCs w:val="22"/>
          </w:rPr>
          <w:t xml:space="preserve">1. ORIGEN Y FILOSOFÍA FUNDACIONAL</w:t>
        </w:r>
      </w:hyperlink>
    </w:p>
    <w:p>
      <w:pPr>
        <w:spacing w:before="20" w:after="20"/>
        <w:ind w:left="360"/>
      </w:pPr>
      <w:hyperlink w:anchor="section_sec1_1" w:history="1">
        <w:r>
          <w:rPr>
            <w:rStyle w:val="Hyperlink"/>
            <w:rFonts w:ascii="Arial" w:cs="Arial" w:eastAsia="Arial" w:hAnsi="Arial"/>
            <w:color w:val="595959"/>
            <w:sz w:val="20"/>
            <w:szCs w:val="20"/>
          </w:rPr>
          <w:t xml:space="preserve">1.1  La historia de David Rodríguez</w:t>
        </w:r>
      </w:hyperlink>
    </w:p>
    <w:p>
      <w:pPr>
        <w:spacing w:before="20" w:after="20"/>
        <w:ind w:left="360"/>
      </w:pPr>
      <w:hyperlink w:anchor="section_sec1_2" w:history="1">
        <w:r>
          <w:rPr>
            <w:rStyle w:val="Hyperlink"/>
            <w:rFonts w:ascii="Arial" w:cs="Arial" w:eastAsia="Arial" w:hAnsi="Arial"/>
            <w:color w:val="595959"/>
            <w:sz w:val="20"/>
            <w:szCs w:val="20"/>
          </w:rPr>
          <w:t xml:space="preserve">1.2  La tesis fundacional: el miedo como verdadera discapacidad</w:t>
        </w:r>
      </w:hyperlink>
    </w:p>
    <w:p>
      <w:pPr>
        <w:spacing w:before="20" w:after="20"/>
        <w:ind w:left="360"/>
      </w:pPr>
      <w:hyperlink w:anchor="section_sec1_3" w:history="1">
        <w:r>
          <w:rPr>
            <w:rStyle w:val="Hyperlink"/>
            <w:rFonts w:ascii="Arial" w:cs="Arial" w:eastAsia="Arial" w:hAnsi="Arial"/>
            <w:color w:val="595959"/>
            <w:sz w:val="20"/>
            <w:szCs w:val="20"/>
          </w:rPr>
          <w:t xml:space="preserve">1.3  La filosofía operativa: no normalizar, acompañar</w:t>
        </w:r>
      </w:hyperlink>
    </w:p>
    <w:p>
      <w:pPr>
        <w:spacing w:before="20" w:after="20"/>
        <w:ind w:left="360"/>
      </w:pPr>
      <w:hyperlink w:anchor="section_sec1_4" w:history="1">
        <w:r>
          <w:rPr>
            <w:rStyle w:val="Hyperlink"/>
            <w:rFonts w:ascii="Arial" w:cs="Arial" w:eastAsia="Arial" w:hAnsi="Arial"/>
            <w:color w:val="595959"/>
            <w:sz w:val="20"/>
            <w:szCs w:val="20"/>
          </w:rPr>
          <w:t xml:space="preserve">1.4  El modelo sin paternalismo</w:t>
        </w:r>
      </w:hyperlink>
    </w:p>
    <w:p>
      <w:pPr>
        <w:spacing w:before="20" w:after="20"/>
        <w:ind w:left="360"/>
      </w:pPr>
      <w:hyperlink w:anchor="section_sec1_5" w:history="1">
        <w:r>
          <w:rPr>
            <w:rStyle w:val="Hyperlink"/>
            <w:rFonts w:ascii="Arial" w:cs="Arial" w:eastAsia="Arial" w:hAnsi="Arial"/>
            <w:color w:val="595959"/>
            <w:sz w:val="20"/>
            <w:szCs w:val="20"/>
          </w:rPr>
          <w:t xml:space="preserve">1.5  El eslogan y la marca</w:t>
        </w:r>
      </w:hyperlink>
    </w:p>
    <w:p>
      <w:pPr>
        <w:spacing w:before="60" w:after="60"/>
        <w:ind w:left="0"/>
      </w:pPr>
      <w:hyperlink w:anchor="chapter_ch2" w:history="1">
        <w:r>
          <w:rPr>
            <w:rStyle w:val="Hyperlink"/>
            <w:rFonts w:ascii="Arial" w:cs="Arial" w:eastAsia="Arial" w:hAnsi="Arial"/>
            <w:b/>
            <w:bCs/>
            <w:sz w:val="22"/>
            <w:szCs w:val="22"/>
          </w:rPr>
          <w:t xml:space="preserve">2. IDENTIDAD CORPORATIVA Y CULTURA</w:t>
        </w:r>
      </w:hyperlink>
    </w:p>
    <w:p>
      <w:pPr>
        <w:spacing w:before="20" w:after="20"/>
        <w:ind w:left="360"/>
      </w:pPr>
      <w:hyperlink w:anchor="section_sec2_1" w:history="1">
        <w:r>
          <w:rPr>
            <w:rStyle w:val="Hyperlink"/>
            <w:rFonts w:ascii="Arial" w:cs="Arial" w:eastAsia="Arial" w:hAnsi="Arial"/>
            <w:color w:val="595959"/>
            <w:sz w:val="20"/>
            <w:szCs w:val="20"/>
          </w:rPr>
          <w:t xml:space="preserve">2.1  Misión, visión y propósito</w:t>
        </w:r>
      </w:hyperlink>
    </w:p>
    <w:p>
      <w:pPr>
        <w:spacing w:before="20" w:after="20"/>
        <w:ind w:left="360"/>
      </w:pPr>
      <w:hyperlink w:anchor="section_sec2_2" w:history="1">
        <w:r>
          <w:rPr>
            <w:rStyle w:val="Hyperlink"/>
            <w:rFonts w:ascii="Arial" w:cs="Arial" w:eastAsia="Arial" w:hAnsi="Arial"/>
            <w:color w:val="595959"/>
            <w:sz w:val="20"/>
            <w:szCs w:val="20"/>
          </w:rPr>
          <w:t xml:space="preserve">2.2  Valores y compromisos</w:t>
        </w:r>
      </w:hyperlink>
    </w:p>
    <w:p>
      <w:pPr>
        <w:spacing w:before="20" w:after="20"/>
        <w:ind w:left="360"/>
      </w:pPr>
      <w:hyperlink w:anchor="section_sec2_3" w:history="1">
        <w:r>
          <w:rPr>
            <w:rStyle w:val="Hyperlink"/>
            <w:rFonts w:ascii="Arial" w:cs="Arial" w:eastAsia="Arial" w:hAnsi="Arial"/>
            <w:color w:val="595959"/>
            <w:sz w:val="20"/>
            <w:szCs w:val="20"/>
          </w:rPr>
          <w:t xml:space="preserve">2.3  Metodología transversal: Inteligencia Emocional + Juego + Humor</w:t>
        </w:r>
      </w:hyperlink>
    </w:p>
    <w:p>
      <w:pPr>
        <w:spacing w:before="20" w:after="20"/>
        <w:ind w:left="360"/>
      </w:pPr>
      <w:hyperlink w:anchor="section_sec2_4" w:history="1">
        <w:r>
          <w:rPr>
            <w:rStyle w:val="Hyperlink"/>
            <w:rFonts w:ascii="Arial" w:cs="Arial" w:eastAsia="Arial" w:hAnsi="Arial"/>
            <w:color w:val="595959"/>
            <w:sz w:val="20"/>
            <w:szCs w:val="20"/>
          </w:rPr>
          <w:t xml:space="preserve">2.4  Cultura interna: la dinámica emocional del equipo</w:t>
        </w:r>
      </w:hyperlink>
    </w:p>
    <w:p>
      <w:pPr>
        <w:spacing w:before="20" w:after="20"/>
        <w:ind w:left="360"/>
      </w:pPr>
      <w:hyperlink w:anchor="section_sec2_5" w:history="1">
        <w:r>
          <w:rPr>
            <w:rStyle w:val="Hyperlink"/>
            <w:rFonts w:ascii="Arial" w:cs="Arial" w:eastAsia="Arial" w:hAnsi="Arial"/>
            <w:color w:val="595959"/>
            <w:sz w:val="20"/>
            <w:szCs w:val="20"/>
          </w:rPr>
          <w:t xml:space="preserve">2.5  Limitaciones culturales actuales</w:t>
        </w:r>
      </w:hyperlink>
    </w:p>
    <w:p>
      <w:pPr>
        <w:spacing w:before="60" w:after="60"/>
        <w:ind w:left="0"/>
      </w:pPr>
      <w:hyperlink w:anchor="chapter_ch3" w:history="1">
        <w:r>
          <w:rPr>
            <w:rStyle w:val="Hyperlink"/>
            <w:rFonts w:ascii="Arial" w:cs="Arial" w:eastAsia="Arial" w:hAnsi="Arial"/>
            <w:b/>
            <w:bCs/>
            <w:sz w:val="22"/>
            <w:szCs w:val="22"/>
          </w:rPr>
          <w:t xml:space="preserve">3. ESTRUCTURA ORGANIZATIVA</w:t>
        </w:r>
      </w:hyperlink>
    </w:p>
    <w:p>
      <w:pPr>
        <w:spacing w:before="20" w:after="20"/>
        <w:ind w:left="360"/>
      </w:pPr>
      <w:hyperlink w:anchor="section_sec3_1" w:history="1">
        <w:r>
          <w:rPr>
            <w:rStyle w:val="Hyperlink"/>
            <w:rFonts w:ascii="Arial" w:cs="Arial" w:eastAsia="Arial" w:hAnsi="Arial"/>
            <w:color w:val="595959"/>
            <w:sz w:val="20"/>
            <w:szCs w:val="20"/>
          </w:rPr>
          <w:t xml:space="preserve">3.1  Gobierno de la organización</w:t>
        </w:r>
      </w:hyperlink>
    </w:p>
    <w:p>
      <w:pPr>
        <w:spacing w:before="20" w:after="20"/>
        <w:ind w:left="360"/>
      </w:pPr>
      <w:hyperlink w:anchor="section_sec3_2" w:history="1">
        <w:r>
          <w:rPr>
            <w:rStyle w:val="Hyperlink"/>
            <w:rFonts w:ascii="Arial" w:cs="Arial" w:eastAsia="Arial" w:hAnsi="Arial"/>
            <w:color w:val="595959"/>
            <w:sz w:val="20"/>
            <w:szCs w:val="20"/>
          </w:rPr>
          <w:t xml:space="preserve">3.2  El equipo directivo</w:t>
        </w:r>
      </w:hyperlink>
    </w:p>
    <w:p>
      <w:pPr>
        <w:spacing w:before="20" w:after="20"/>
        <w:ind w:left="360"/>
      </w:pPr>
      <w:hyperlink w:anchor="section_sec3_3" w:history="1">
        <w:r>
          <w:rPr>
            <w:rStyle w:val="Hyperlink"/>
            <w:rFonts w:ascii="Arial" w:cs="Arial" w:eastAsia="Arial" w:hAnsi="Arial"/>
            <w:color w:val="595959"/>
            <w:sz w:val="20"/>
            <w:szCs w:val="20"/>
          </w:rPr>
          <w:t xml:space="preserve">3.3  Notas sobre el equipo directivo</w:t>
        </w:r>
      </w:hyperlink>
    </w:p>
    <w:p>
      <w:pPr>
        <w:spacing w:before="20" w:after="20"/>
        <w:ind w:left="360"/>
      </w:pPr>
      <w:hyperlink w:anchor="section_sec3_4" w:history="1">
        <w:r>
          <w:rPr>
            <w:rStyle w:val="Hyperlink"/>
            <w:rFonts w:ascii="Arial" w:cs="Arial" w:eastAsia="Arial" w:hAnsi="Arial"/>
            <w:color w:val="595959"/>
            <w:sz w:val="20"/>
            <w:szCs w:val="20"/>
          </w:rPr>
          <w:t xml:space="preserve">3.4  Estructura operativa de servicios</w:t>
        </w:r>
      </w:hyperlink>
    </w:p>
    <w:p>
      <w:pPr>
        <w:spacing w:before="20" w:after="20"/>
        <w:ind w:left="360"/>
      </w:pPr>
      <w:hyperlink w:anchor="section_sec3_5" w:history="1">
        <w:r>
          <w:rPr>
            <w:rStyle w:val="Hyperlink"/>
            <w:rFonts w:ascii="Arial" w:cs="Arial" w:eastAsia="Arial" w:hAnsi="Arial"/>
            <w:color w:val="595959"/>
            <w:sz w:val="20"/>
            <w:szCs w:val="20"/>
          </w:rPr>
          <w:t xml:space="preserve">3.5  Roadmap organizativo 2026</w:t>
        </w:r>
      </w:hyperlink>
    </w:p>
    <w:p>
      <w:pPr>
        <w:spacing w:before="20" w:after="20"/>
        <w:ind w:left="360"/>
      </w:pPr>
      <w:hyperlink w:anchor="section_sec3_6" w:history="1">
        <w:r>
          <w:rPr>
            <w:rStyle w:val="Hyperlink"/>
            <w:rFonts w:ascii="Arial" w:cs="Arial" w:eastAsia="Arial" w:hAnsi="Arial"/>
            <w:color w:val="595959"/>
            <w:sz w:val="20"/>
            <w:szCs w:val="20"/>
          </w:rPr>
          <w:t xml:space="preserve">3.6  Escala total del equipo</w:t>
        </w:r>
      </w:hyperlink>
    </w:p>
    <w:p>
      <w:pPr>
        <w:spacing w:before="60" w:after="60"/>
        <w:ind w:left="0"/>
      </w:pPr>
      <w:hyperlink w:anchor="chapter_ch4" w:history="1">
        <w:r>
          <w:rPr>
            <w:rStyle w:val="Hyperlink"/>
            <w:rFonts w:ascii="Arial" w:cs="Arial" w:eastAsia="Arial" w:hAnsi="Arial"/>
            <w:b/>
            <w:bCs/>
            <w:sz w:val="22"/>
            <w:szCs w:val="22"/>
          </w:rPr>
          <w:t xml:space="preserve">4. RECONOCIMIENTOS, PRESENCIA PÚBLICA Y ALIANZAS</w:t>
        </w:r>
      </w:hyperlink>
    </w:p>
    <w:p>
      <w:pPr>
        <w:spacing w:before="20" w:after="20"/>
        <w:ind w:left="360"/>
      </w:pPr>
      <w:hyperlink w:anchor="section_sec4_1" w:history="1">
        <w:r>
          <w:rPr>
            <w:rStyle w:val="Hyperlink"/>
            <w:rFonts w:ascii="Arial" w:cs="Arial" w:eastAsia="Arial" w:hAnsi="Arial"/>
            <w:color w:val="595959"/>
            <w:sz w:val="20"/>
            <w:szCs w:val="20"/>
          </w:rPr>
          <w:t xml:space="preserve">4.1  Reconocimientos institucionales</w:t>
        </w:r>
      </w:hyperlink>
    </w:p>
    <w:p>
      <w:pPr>
        <w:spacing w:before="20" w:after="20"/>
        <w:ind w:left="360"/>
      </w:pPr>
      <w:hyperlink w:anchor="section_sec4_2" w:history="1">
        <w:r>
          <w:rPr>
            <w:rStyle w:val="Hyperlink"/>
            <w:rFonts w:ascii="Arial" w:cs="Arial" w:eastAsia="Arial" w:hAnsi="Arial"/>
            <w:color w:val="595959"/>
            <w:sz w:val="20"/>
            <w:szCs w:val="20"/>
          </w:rPr>
          <w:t xml:space="preserve">4.2  La figura pública de David Rodríguez</w:t>
        </w:r>
      </w:hyperlink>
    </w:p>
    <w:p>
      <w:pPr>
        <w:spacing w:before="20" w:after="20"/>
        <w:ind w:left="360"/>
      </w:pPr>
      <w:hyperlink w:anchor="section_sec4_3" w:history="1">
        <w:r>
          <w:rPr>
            <w:rStyle w:val="Hyperlink"/>
            <w:rFonts w:ascii="Arial" w:cs="Arial" w:eastAsia="Arial" w:hAnsi="Arial"/>
            <w:color w:val="595959"/>
            <w:sz w:val="20"/>
            <w:szCs w:val="20"/>
          </w:rPr>
          <w:t xml:space="preserve">4.3  Alianzas estratégicas</w:t>
        </w:r>
      </w:hyperlink>
    </w:p>
    <w:p>
      <w:pPr>
        <w:spacing w:before="180" w:after="60"/>
      </w:pPr>
      <w:r>
        <w:rPr>
          <w:rFonts w:ascii="Arial" w:cs="Arial" w:eastAsia="Arial" w:hAnsi="Arial"/>
          <w:b/>
          <w:color w:val="2E75B6"/>
          <w:sz w:val="20"/>
          <w:szCs w:val="20"/>
          <w:caps/>
        </w:rPr>
        <w:t xml:space="preserve">PARTE II — QUÉ HACEMOS</w:t>
      </w:r>
    </w:p>
    <w:p>
      <w:pPr>
        <w:spacing w:before="60" w:after="60"/>
        <w:ind w:left="0"/>
      </w:pPr>
      <w:hyperlink w:anchor="chapter_ch5" w:history="1">
        <w:r>
          <w:rPr>
            <w:rStyle w:val="Hyperlink"/>
            <w:rFonts w:ascii="Arial" w:cs="Arial" w:eastAsia="Arial" w:hAnsi="Arial"/>
            <w:b/>
            <w:bCs/>
            <w:sz w:val="22"/>
            <w:szCs w:val="22"/>
          </w:rPr>
          <w:t xml:space="preserve">5. TERAPIA PARA TODOS (TPT)</w:t>
        </w:r>
      </w:hyperlink>
    </w:p>
    <w:p>
      <w:pPr>
        <w:spacing w:before="20" w:after="20"/>
        <w:ind w:left="360"/>
      </w:pPr>
      <w:hyperlink w:anchor="section_sec5_1" w:history="1">
        <w:r>
          <w:rPr>
            <w:rStyle w:val="Hyperlink"/>
            <w:rFonts w:ascii="Arial" w:cs="Arial" w:eastAsia="Arial" w:hAnsi="Arial"/>
            <w:color w:val="595959"/>
            <w:sz w:val="20"/>
            <w:szCs w:val="20"/>
          </w:rPr>
          <w:t xml:space="preserve">5.1  Origen y razón de ser</w:t>
        </w:r>
      </w:hyperlink>
    </w:p>
    <w:p>
      <w:pPr>
        <w:spacing w:before="20" w:after="20"/>
        <w:ind w:left="360"/>
      </w:pPr>
      <w:hyperlink w:anchor="section_sec5_2" w:history="1">
        <w:r>
          <w:rPr>
            <w:rStyle w:val="Hyperlink"/>
            <w:rFonts w:ascii="Arial" w:cs="Arial" w:eastAsia="Arial" w:hAnsi="Arial"/>
            <w:color w:val="595959"/>
            <w:sz w:val="20"/>
            <w:szCs w:val="20"/>
          </w:rPr>
          <w:t xml:space="preserve">5.2  Propuesta de valor diferencial</w:t>
        </w:r>
      </w:hyperlink>
    </w:p>
    <w:p>
      <w:pPr>
        <w:spacing w:before="20" w:after="20"/>
        <w:ind w:left="360"/>
      </w:pPr>
      <w:hyperlink w:anchor="section_sec5_3" w:history="1">
        <w:r>
          <w:rPr>
            <w:rStyle w:val="Hyperlink"/>
            <w:rFonts w:ascii="Arial" w:cs="Arial" w:eastAsia="Arial" w:hAnsi="Arial"/>
            <w:color w:val="595959"/>
            <w:sz w:val="20"/>
            <w:szCs w:val="20"/>
          </w:rPr>
          <w:t xml:space="preserve">5.3  Servicios disponibles</w:t>
        </w:r>
      </w:hyperlink>
    </w:p>
    <w:p>
      <w:pPr>
        <w:spacing w:before="20" w:after="20"/>
        <w:ind w:left="360"/>
      </w:pPr>
      <w:hyperlink w:anchor="section_sec5_4" w:history="1">
        <w:r>
          <w:rPr>
            <w:rStyle w:val="Hyperlink"/>
            <w:rFonts w:ascii="Arial" w:cs="Arial" w:eastAsia="Arial" w:hAnsi="Arial"/>
            <w:color w:val="595959"/>
            <w:sz w:val="20"/>
            <w:szCs w:val="20"/>
          </w:rPr>
          <w:t xml:space="preserve">5.4  El modelo de compromiso anual</w:t>
        </w:r>
      </w:hyperlink>
    </w:p>
    <w:p>
      <w:pPr>
        <w:spacing w:before="20" w:after="20"/>
        <w:ind w:left="360"/>
      </w:pPr>
      <w:hyperlink w:anchor="section_sec5_5" w:history="1">
        <w:r>
          <w:rPr>
            <w:rStyle w:val="Hyperlink"/>
            <w:rFonts w:ascii="Arial" w:cs="Arial" w:eastAsia="Arial" w:hAnsi="Arial"/>
            <w:color w:val="595959"/>
            <w:sz w:val="20"/>
            <w:szCs w:val="20"/>
          </w:rPr>
          <w:t xml:space="preserve">5.5  Ubicaciones actuales</w:t>
        </w:r>
      </w:hyperlink>
    </w:p>
    <w:p>
      <w:pPr>
        <w:spacing w:before="20" w:after="20"/>
        <w:ind w:left="360"/>
      </w:pPr>
      <w:hyperlink w:anchor="section_sec5_6" w:history="1">
        <w:r>
          <w:rPr>
            <w:rStyle w:val="Hyperlink"/>
            <w:rFonts w:ascii="Arial" w:cs="Arial" w:eastAsia="Arial" w:hAnsi="Arial"/>
            <w:color w:val="595959"/>
            <w:sz w:val="20"/>
            <w:szCs w:val="20"/>
          </w:rPr>
          <w:t xml:space="preserve">5.6  Cifras de impacto</w:t>
        </w:r>
      </w:hyperlink>
    </w:p>
    <w:p>
      <w:pPr>
        <w:spacing w:before="20" w:after="20"/>
        <w:ind w:left="360"/>
      </w:pPr>
      <w:hyperlink w:anchor="section_sec5_7" w:history="1">
        <w:r>
          <w:rPr>
            <w:rStyle w:val="Hyperlink"/>
            <w:rFonts w:ascii="Arial" w:cs="Arial" w:eastAsia="Arial" w:hAnsi="Arial"/>
            <w:color w:val="595959"/>
            <w:sz w:val="20"/>
            <w:szCs w:val="20"/>
          </w:rPr>
          <w:t xml:space="preserve">5.7  Canales de Entrada</w:t>
        </w:r>
      </w:hyperlink>
    </w:p>
    <w:p>
      <w:pPr>
        <w:spacing w:before="20" w:after="20"/>
        <w:ind w:left="360"/>
      </w:pPr>
      <w:hyperlink w:anchor="section_sec5_8" w:history="1">
        <w:r>
          <w:rPr>
            <w:rStyle w:val="Hyperlink"/>
            <w:rFonts w:ascii="Arial" w:cs="Arial" w:eastAsia="Arial" w:hAnsi="Arial"/>
            <w:color w:val="595959"/>
            <w:sz w:val="20"/>
            <w:szCs w:val="20"/>
          </w:rPr>
          <w:t xml:space="preserve">5.8  El Funnel: de la Consulta al Compromiso</w:t>
        </w:r>
      </w:hyperlink>
    </w:p>
    <w:p>
      <w:pPr>
        <w:spacing w:before="20" w:after="20"/>
        <w:ind w:left="360"/>
      </w:pPr>
      <w:hyperlink w:anchor="section_sec5_9" w:history="1">
        <w:r>
          <w:rPr>
            <w:rStyle w:val="Hyperlink"/>
            <w:rFonts w:ascii="Arial" w:cs="Arial" w:eastAsia="Arial" w:hAnsi="Arial"/>
            <w:color w:val="595959"/>
            <w:sz w:val="20"/>
            <w:szCs w:val="20"/>
          </w:rPr>
          <w:t xml:space="preserve">5.9  El Stopper Crítico: Julio y Agosto</w:t>
        </w:r>
      </w:hyperlink>
    </w:p>
    <w:p>
      <w:pPr>
        <w:spacing w:before="20" w:after="20"/>
        <w:ind w:left="360"/>
      </w:pPr>
      <w:hyperlink w:anchor="section_sec5_10" w:history="1">
        <w:r>
          <w:rPr>
            <w:rStyle w:val="Hyperlink"/>
            <w:rFonts w:ascii="Arial" w:cs="Arial" w:eastAsia="Arial" w:hAnsi="Arial"/>
            <w:color w:val="595959"/>
            <w:sz w:val="20"/>
            <w:szCs w:val="20"/>
          </w:rPr>
          <w:t xml:space="preserve">5.10  La Nueva Figura de Captación</w:t>
        </w:r>
      </w:hyperlink>
    </w:p>
    <w:p>
      <w:pPr>
        <w:spacing w:before="20" w:after="20"/>
        <w:ind w:left="360"/>
      </w:pPr>
      <w:hyperlink w:anchor="section_sec5_11" w:history="1">
        <w:r>
          <w:rPr>
            <w:rStyle w:val="Hyperlink"/>
            <w:rFonts w:ascii="Arial" w:cs="Arial" w:eastAsia="Arial" w:hAnsi="Arial"/>
            <w:color w:val="595959"/>
            <w:sz w:val="20"/>
            <w:szCs w:val="20"/>
          </w:rPr>
          <w:t xml:space="preserve">5.11  El Sistema de Gestión de Agendas</w:t>
        </w:r>
      </w:hyperlink>
    </w:p>
    <w:p>
      <w:pPr>
        <w:spacing w:before="20" w:after="20"/>
        <w:ind w:left="360"/>
      </w:pPr>
      <w:hyperlink w:anchor="section_sec5_12" w:history="1">
        <w:r>
          <w:rPr>
            <w:rStyle w:val="Hyperlink"/>
            <w:rFonts w:ascii="Arial" w:cs="Arial" w:eastAsia="Arial" w:hAnsi="Arial"/>
            <w:color w:val="595959"/>
            <w:sz w:val="20"/>
            <w:szCs w:val="20"/>
          </w:rPr>
          <w:t xml:space="preserve">5.12  El Contrato del Terapeuta y el Sistema de Pluses</w:t>
        </w:r>
      </w:hyperlink>
    </w:p>
    <w:p>
      <w:pPr>
        <w:spacing w:before="20" w:after="20"/>
        <w:ind w:left="360"/>
      </w:pPr>
      <w:hyperlink w:anchor="section_sec5_13" w:history="1">
        <w:r>
          <w:rPr>
            <w:rStyle w:val="Hyperlink"/>
            <w:rFonts w:ascii="Arial" w:cs="Arial" w:eastAsia="Arial" w:hAnsi="Arial"/>
            <w:color w:val="595959"/>
            <w:sz w:val="20"/>
            <w:szCs w:val="20"/>
          </w:rPr>
          <w:t xml:space="preserve">5.13  El Sistema de Parejas y Grupos — La Palanca Clave</w:t>
        </w:r>
      </w:hyperlink>
    </w:p>
    <w:p>
      <w:pPr>
        <w:spacing w:before="20" w:after="20"/>
        <w:ind w:left="360"/>
      </w:pPr>
      <w:hyperlink w:anchor="section_sec5_14" w:history="1">
        <w:r>
          <w:rPr>
            <w:rStyle w:val="Hyperlink"/>
            <w:rFonts w:ascii="Arial" w:cs="Arial" w:eastAsia="Arial" w:hAnsi="Arial"/>
            <w:color w:val="595959"/>
            <w:sz w:val="20"/>
            <w:szCs w:val="20"/>
          </w:rPr>
          <w:t xml:space="preserve">5.14  Registro de Asistencia e Incidencias en CRM</w:t>
        </w:r>
      </w:hyperlink>
    </w:p>
    <w:p>
      <w:pPr>
        <w:spacing w:before="20" w:after="20"/>
        <w:ind w:left="360"/>
      </w:pPr>
      <w:hyperlink w:anchor="section_sec5_15" w:history="1">
        <w:r>
          <w:rPr>
            <w:rStyle w:val="Hyperlink"/>
            <w:rFonts w:ascii="Arial" w:cs="Arial" w:eastAsia="Arial" w:hAnsi="Arial"/>
            <w:color w:val="595959"/>
            <w:sz w:val="20"/>
            <w:szCs w:val="20"/>
          </w:rPr>
          <w:t xml:space="preserve">5.15  Sistema de Recuperaciones (en construcción)</w:t>
        </w:r>
      </w:hyperlink>
    </w:p>
    <w:p>
      <w:pPr>
        <w:spacing w:before="20" w:after="20"/>
        <w:ind w:left="360"/>
      </w:pPr>
      <w:hyperlink w:anchor="section_sec5_16" w:history="1">
        <w:r>
          <w:rPr>
            <w:rStyle w:val="Hyperlink"/>
            <w:rFonts w:ascii="Arial" w:cs="Arial" w:eastAsia="Arial" w:hAnsi="Arial"/>
            <w:color w:val="595959"/>
            <w:sz w:val="20"/>
            <w:szCs w:val="20"/>
          </w:rPr>
          <w:t xml:space="preserve">5.16  Modelo de costes salariales en TPT</w:t>
        </w:r>
      </w:hyperlink>
    </w:p>
    <w:p>
      <w:pPr>
        <w:spacing w:before="20" w:after="20"/>
        <w:ind w:left="360"/>
      </w:pPr>
      <w:hyperlink w:anchor="section_sec5_17" w:history="1">
        <w:r>
          <w:rPr>
            <w:rStyle w:val="Hyperlink"/>
            <w:rFonts w:ascii="Arial" w:cs="Arial" w:eastAsia="Arial" w:hAnsi="Arial"/>
            <w:color w:val="595959"/>
            <w:sz w:val="20"/>
            <w:szCs w:val="20"/>
          </w:rPr>
          <w:t xml:space="preserve">5.17  Punto de break-even de TPT</w:t>
        </w:r>
      </w:hyperlink>
    </w:p>
    <w:p>
      <w:pPr>
        <w:spacing w:before="60" w:after="60"/>
        <w:ind w:left="0"/>
      </w:pPr>
      <w:hyperlink w:anchor="chapter_ch6" w:history="1">
        <w:r>
          <w:rPr>
            <w:rStyle w:val="Hyperlink"/>
            <w:rFonts w:ascii="Arial" w:cs="Arial" w:eastAsia="Arial" w:hAnsi="Arial"/>
            <w:b/>
            <w:bCs/>
            <w:sz w:val="22"/>
            <w:szCs w:val="22"/>
          </w:rPr>
          <w:t xml:space="preserve">6. INCLUSIVE SPORT (IS)</w:t>
        </w:r>
      </w:hyperlink>
    </w:p>
    <w:p>
      <w:pPr>
        <w:spacing w:before="20" w:after="20"/>
        <w:ind w:left="360"/>
      </w:pPr>
      <w:hyperlink w:anchor="section_sec6_1" w:history="1">
        <w:r>
          <w:rPr>
            <w:rStyle w:val="Hyperlink"/>
            <w:rFonts w:ascii="Arial" w:cs="Arial" w:eastAsia="Arial" w:hAnsi="Arial"/>
            <w:color w:val="595959"/>
            <w:sz w:val="20"/>
            <w:szCs w:val="20"/>
          </w:rPr>
          <w:t xml:space="preserve">6.1  Origen y razón de ser</w:t>
        </w:r>
      </w:hyperlink>
    </w:p>
    <w:p>
      <w:pPr>
        <w:spacing w:before="20" w:after="20"/>
        <w:ind w:left="360"/>
      </w:pPr>
      <w:hyperlink w:anchor="section_sec6_2" w:history="1">
        <w:r>
          <w:rPr>
            <w:rStyle w:val="Hyperlink"/>
            <w:rFonts w:ascii="Arial" w:cs="Arial" w:eastAsia="Arial" w:hAnsi="Arial"/>
            <w:color w:val="595959"/>
            <w:sz w:val="20"/>
            <w:szCs w:val="20"/>
          </w:rPr>
          <w:t xml:space="preserve">6.2  Propuesta de valor diferencial</w:t>
        </w:r>
      </w:hyperlink>
    </w:p>
    <w:p>
      <w:pPr>
        <w:spacing w:before="20" w:after="20"/>
        <w:ind w:left="360"/>
      </w:pPr>
      <w:hyperlink w:anchor="section_sec6_3" w:history="1">
        <w:r>
          <w:rPr>
            <w:rStyle w:val="Hyperlink"/>
            <w:rFonts w:ascii="Arial" w:cs="Arial" w:eastAsia="Arial" w:hAnsi="Arial"/>
            <w:color w:val="595959"/>
            <w:sz w:val="20"/>
            <w:szCs w:val="20"/>
          </w:rPr>
          <w:t xml:space="preserve">6.3  Modalidades disponibles</w:t>
        </w:r>
      </w:hyperlink>
    </w:p>
    <w:p>
      <w:pPr>
        <w:spacing w:before="20" w:after="20"/>
        <w:ind w:left="360"/>
      </w:pPr>
      <w:hyperlink w:anchor="section_sec6_4" w:history="1">
        <w:r>
          <w:rPr>
            <w:rStyle w:val="Hyperlink"/>
            <w:rFonts w:ascii="Arial" w:cs="Arial" w:eastAsia="Arial" w:hAnsi="Arial"/>
            <w:color w:val="595959"/>
            <w:sz w:val="20"/>
            <w:szCs w:val="20"/>
          </w:rPr>
          <w:t xml:space="preserve">6.4  Modelo económico de IS</w:t>
        </w:r>
      </w:hyperlink>
    </w:p>
    <w:p>
      <w:pPr>
        <w:spacing w:before="20" w:after="20"/>
        <w:ind w:left="360"/>
      </w:pPr>
      <w:hyperlink w:anchor="section_sec6_5" w:history="1">
        <w:r>
          <w:rPr>
            <w:rStyle w:val="Hyperlink"/>
            <w:rFonts w:ascii="Arial" w:cs="Arial" w:eastAsia="Arial" w:hAnsi="Arial"/>
            <w:color w:val="595959"/>
            <w:sz w:val="20"/>
            <w:szCs w:val="20"/>
          </w:rPr>
          <w:t xml:space="preserve">6.5  Modelo de costes salariales en IS</w:t>
        </w:r>
      </w:hyperlink>
    </w:p>
    <w:p>
      <w:pPr>
        <w:spacing w:before="20" w:after="20"/>
        <w:ind w:left="360"/>
      </w:pPr>
      <w:hyperlink w:anchor="section_sec6_6" w:history="1">
        <w:r>
          <w:rPr>
            <w:rStyle w:val="Hyperlink"/>
            <w:rFonts w:ascii="Arial" w:cs="Arial" w:eastAsia="Arial" w:hAnsi="Arial"/>
            <w:color w:val="595959"/>
            <w:sz w:val="20"/>
            <w:szCs w:val="20"/>
          </w:rPr>
          <w:t xml:space="preserve">6.6  Punto de break-even de IS</w:t>
        </w:r>
      </w:hyperlink>
    </w:p>
    <w:p>
      <w:pPr>
        <w:spacing w:before="20" w:after="20"/>
        <w:ind w:left="360"/>
      </w:pPr>
      <w:hyperlink w:anchor="section_sec6_7" w:history="1">
        <w:r>
          <w:rPr>
            <w:rStyle w:val="Hyperlink"/>
            <w:rFonts w:ascii="Arial" w:cs="Arial" w:eastAsia="Arial" w:hAnsi="Arial"/>
            <w:color w:val="595959"/>
            <w:sz w:val="20"/>
            <w:szCs w:val="20"/>
          </w:rPr>
          <w:t xml:space="preserve">6.7  Retos operativos de IS</w:t>
        </w:r>
      </w:hyperlink>
    </w:p>
    <w:p>
      <w:pPr>
        <w:spacing w:before="20" w:after="20"/>
        <w:ind w:left="360"/>
      </w:pPr>
      <w:hyperlink w:anchor="section_sec6_8" w:history="1">
        <w:r>
          <w:rPr>
            <w:rStyle w:val="Hyperlink"/>
            <w:rFonts w:ascii="Arial" w:cs="Arial" w:eastAsia="Arial" w:hAnsi="Arial"/>
            <w:color w:val="595959"/>
            <w:sz w:val="20"/>
            <w:szCs w:val="20"/>
          </w:rPr>
          <w:t xml:space="preserve">6.8  IS como ecosistema con TPT</w:t>
        </w:r>
      </w:hyperlink>
    </w:p>
    <w:p>
      <w:pPr>
        <w:spacing w:before="20" w:after="20"/>
        <w:ind w:left="360"/>
      </w:pPr>
      <w:hyperlink w:anchor="section_sec6_9" w:history="1">
        <w:r>
          <w:rPr>
            <w:rStyle w:val="Hyperlink"/>
            <w:rFonts w:ascii="Arial" w:cs="Arial" w:eastAsia="Arial" w:hAnsi="Arial"/>
            <w:color w:val="595959"/>
            <w:sz w:val="20"/>
            <w:szCs w:val="20"/>
          </w:rPr>
          <w:t xml:space="preserve">6.9  Cifras de impacto</w:t>
        </w:r>
      </w:hyperlink>
    </w:p>
    <w:p>
      <w:pPr>
        <w:spacing w:before="60" w:after="60"/>
        <w:ind w:left="0"/>
      </w:pPr>
      <w:hyperlink w:anchor="chapter_ch7" w:history="1">
        <w:r>
          <w:rPr>
            <w:rStyle w:val="Hyperlink"/>
            <w:rFonts w:ascii="Arial" w:cs="Arial" w:eastAsia="Arial" w:hAnsi="Arial"/>
            <w:b/>
            <w:bCs/>
            <w:sz w:val="22"/>
            <w:szCs w:val="22"/>
          </w:rPr>
          <w:t xml:space="preserve">7. INDIFERENTE: CONSULTORÍA DE DIVERSIDAD E INCLUSIÓN</w:t>
        </w:r>
      </w:hyperlink>
    </w:p>
    <w:p>
      <w:pPr>
        <w:spacing w:before="20" w:after="20"/>
        <w:ind w:left="360"/>
      </w:pPr>
      <w:hyperlink w:anchor="section_sec7_1" w:history="1">
        <w:r>
          <w:rPr>
            <w:rStyle w:val="Hyperlink"/>
            <w:rFonts w:ascii="Arial" w:cs="Arial" w:eastAsia="Arial" w:hAnsi="Arial"/>
            <w:color w:val="595959"/>
            <w:sz w:val="20"/>
            <w:szCs w:val="20"/>
          </w:rPr>
          <w:t xml:space="preserve">7.1  Por qué existe Indiferente</w:t>
        </w:r>
      </w:hyperlink>
    </w:p>
    <w:p>
      <w:pPr>
        <w:spacing w:before="20" w:after="20"/>
        <w:ind w:left="360"/>
      </w:pPr>
      <w:hyperlink w:anchor="section_sec7_2" w:history="1">
        <w:r>
          <w:rPr>
            <w:rStyle w:val="Hyperlink"/>
            <w:rFonts w:ascii="Arial" w:cs="Arial" w:eastAsia="Arial" w:hAnsi="Arial"/>
            <w:color w:val="595959"/>
            <w:sz w:val="20"/>
            <w:szCs w:val="20"/>
          </w:rPr>
          <w:t xml:space="preserve">7.2  Diferencial de Indiferente respecto al mercado</w:t>
        </w:r>
      </w:hyperlink>
    </w:p>
    <w:p>
      <w:pPr>
        <w:spacing w:before="20" w:after="20"/>
        <w:ind w:left="360"/>
      </w:pPr>
      <w:hyperlink w:anchor="section_sec7_3" w:history="1">
        <w:r>
          <w:rPr>
            <w:rStyle w:val="Hyperlink"/>
            <w:rFonts w:ascii="Arial" w:cs="Arial" w:eastAsia="Arial" w:hAnsi="Arial"/>
            <w:color w:val="595959"/>
            <w:sz w:val="20"/>
            <w:szCs w:val="20"/>
          </w:rPr>
          <w:t xml:space="preserve">7.3  Clientes y segmentos</w:t>
        </w:r>
      </w:hyperlink>
    </w:p>
    <w:p>
      <w:pPr>
        <w:spacing w:before="20" w:after="20"/>
        <w:ind w:left="360"/>
      </w:pPr>
      <w:hyperlink w:anchor="section_sec7_4" w:history="1">
        <w:r>
          <w:rPr>
            <w:rStyle w:val="Hyperlink"/>
            <w:rFonts w:ascii="Arial" w:cs="Arial" w:eastAsia="Arial" w:hAnsi="Arial"/>
            <w:color w:val="595959"/>
            <w:sz w:val="20"/>
            <w:szCs w:val="20"/>
          </w:rPr>
          <w:t xml:space="preserve">7.4  Servicios para empresas</w:t>
        </w:r>
      </w:hyperlink>
    </w:p>
    <w:p>
      <w:pPr>
        <w:spacing w:before="20" w:after="20"/>
        <w:ind w:left="360"/>
      </w:pPr>
      <w:hyperlink w:anchor="section_sec7_5" w:history="1">
        <w:r>
          <w:rPr>
            <w:rStyle w:val="Hyperlink"/>
            <w:rFonts w:ascii="Arial" w:cs="Arial" w:eastAsia="Arial" w:hAnsi="Arial"/>
            <w:color w:val="595959"/>
            <w:sz w:val="20"/>
            <w:szCs w:val="20"/>
          </w:rPr>
          <w:t xml:space="preserve">7.5  Servicios para ayuntamientos</w:t>
        </w:r>
      </w:hyperlink>
    </w:p>
    <w:p>
      <w:pPr>
        <w:spacing w:before="20" w:after="20"/>
        <w:ind w:left="360"/>
      </w:pPr>
      <w:hyperlink w:anchor="section_sec7_6" w:history="1">
        <w:r>
          <w:rPr>
            <w:rStyle w:val="Hyperlink"/>
            <w:rFonts w:ascii="Arial" w:cs="Arial" w:eastAsia="Arial" w:hAnsi="Arial"/>
            <w:color w:val="595959"/>
            <w:sz w:val="20"/>
            <w:szCs w:val="20"/>
          </w:rPr>
          <w:t xml:space="preserve">7.6  Resultados financieros y reto de recurrencia</w:t>
        </w:r>
      </w:hyperlink>
    </w:p>
    <w:p>
      <w:pPr>
        <w:spacing w:before="20" w:after="20"/>
        <w:ind w:left="360"/>
      </w:pPr>
      <w:hyperlink w:anchor="section_sec7_7" w:history="1">
        <w:r>
          <w:rPr>
            <w:rStyle w:val="Hyperlink"/>
            <w:rFonts w:ascii="Arial" w:cs="Arial" w:eastAsia="Arial" w:hAnsi="Arial"/>
            <w:color w:val="595959"/>
            <w:sz w:val="20"/>
            <w:szCs w:val="20"/>
          </w:rPr>
          <w:t xml:space="preserve">7.7  El caso Santander: referencia de escala</w:t>
        </w:r>
      </w:hyperlink>
    </w:p>
    <w:p>
      <w:pPr>
        <w:spacing w:before="60" w:after="60"/>
        <w:ind w:left="0"/>
      </w:pPr>
      <w:hyperlink w:anchor="chapter_ch8" w:history="1">
        <w:r>
          <w:rPr>
            <w:rStyle w:val="Hyperlink"/>
            <w:rFonts w:ascii="Arial" w:cs="Arial" w:eastAsia="Arial" w:hAnsi="Arial"/>
            <w:b/>
            <w:bCs/>
            <w:sz w:val="22"/>
            <w:szCs w:val="22"/>
          </w:rPr>
          <w:t xml:space="preserve">8. ÚNETE AL FLOW / RESTAURACIÓN INCLUSIVA</w:t>
        </w:r>
      </w:hyperlink>
    </w:p>
    <w:p>
      <w:pPr>
        <w:spacing w:before="20" w:after="20"/>
        <w:ind w:left="360"/>
      </w:pPr>
      <w:hyperlink w:anchor="section_sec8_1" w:history="1">
        <w:r>
          <w:rPr>
            <w:rStyle w:val="Hyperlink"/>
            <w:rFonts w:ascii="Arial" w:cs="Arial" w:eastAsia="Arial" w:hAnsi="Arial"/>
            <w:color w:val="595959"/>
            <w:sz w:val="20"/>
            <w:szCs w:val="20"/>
          </w:rPr>
          <w:t xml:space="preserve">8.1  Qué es Únete al Flow</w:t>
        </w:r>
      </w:hyperlink>
    </w:p>
    <w:p>
      <w:pPr>
        <w:spacing w:before="20" w:after="20"/>
        <w:ind w:left="360"/>
      </w:pPr>
      <w:hyperlink w:anchor="section_sec8_2" w:history="1">
        <w:r>
          <w:rPr>
            <w:rStyle w:val="Hyperlink"/>
            <w:rFonts w:ascii="Arial" w:cs="Arial" w:eastAsia="Arial" w:hAnsi="Arial"/>
            <w:color w:val="595959"/>
            <w:sz w:val="20"/>
            <w:szCs w:val="20"/>
          </w:rPr>
          <w:t xml:space="preserve">8.2  Modelo de negocio</w:t>
        </w:r>
      </w:hyperlink>
    </w:p>
    <w:p>
      <w:pPr>
        <w:spacing w:before="20" w:after="20"/>
        <w:ind w:left="360"/>
      </w:pPr>
      <w:hyperlink w:anchor="section_sec8_3" w:history="1">
        <w:r>
          <w:rPr>
            <w:rStyle w:val="Hyperlink"/>
            <w:rFonts w:ascii="Arial" w:cs="Arial" w:eastAsia="Arial" w:hAnsi="Arial"/>
            <w:color w:val="595959"/>
            <w:sz w:val="20"/>
            <w:szCs w:val="20"/>
          </w:rPr>
          <w:t xml:space="preserve">8.3  Resultados y perspectiva</w:t>
        </w:r>
      </w:hyperlink>
    </w:p>
    <w:p>
      <w:pPr>
        <w:spacing w:before="20" w:after="20"/>
        <w:ind w:left="360"/>
      </w:pPr>
      <w:hyperlink w:anchor="section_sec8_4" w:history="1">
        <w:r>
          <w:rPr>
            <w:rStyle w:val="Hyperlink"/>
            <w:rFonts w:ascii="Arial" w:cs="Arial" w:eastAsia="Arial" w:hAnsi="Arial"/>
            <w:color w:val="595959"/>
            <w:sz w:val="20"/>
            <w:szCs w:val="20"/>
          </w:rPr>
          <w:t xml:space="preserve">8.4  Potencial a largo plazo</w:t>
        </w:r>
      </w:hyperlink>
    </w:p>
    <w:p>
      <w:pPr>
        <w:spacing w:before="180" w:after="60"/>
      </w:pPr>
      <w:r>
        <w:rPr>
          <w:rFonts w:ascii="Arial" w:cs="Arial" w:eastAsia="Arial" w:hAnsi="Arial"/>
          <w:b/>
          <w:color w:val="2E75B6"/>
          <w:sz w:val="20"/>
          <w:szCs w:val="20"/>
          <w:caps/>
        </w:rPr>
        <w:t xml:space="preserve">PARTE III — CÓMO SOSTENEMOS</w:t>
      </w:r>
    </w:p>
    <w:p>
      <w:pPr>
        <w:spacing w:before="60" w:after="60"/>
        <w:ind w:left="0"/>
      </w:pPr>
      <w:hyperlink w:anchor="chapter_ch9" w:history="1">
        <w:r>
          <w:rPr>
            <w:rStyle w:val="Hyperlink"/>
            <w:rFonts w:ascii="Arial" w:cs="Arial" w:eastAsia="Arial" w:hAnsi="Arial"/>
            <w:b/>
            <w:bCs/>
            <w:sz w:val="22"/>
            <w:szCs w:val="22"/>
          </w:rPr>
          <w:t xml:space="preserve">9. MODELO ECONÓMICO Y FINANCIERO</w:t>
        </w:r>
      </w:hyperlink>
    </w:p>
    <w:p>
      <w:pPr>
        <w:spacing w:before="20" w:after="20"/>
        <w:ind w:left="360"/>
      </w:pPr>
      <w:hyperlink w:anchor="section_sec9_1" w:history="1">
        <w:r>
          <w:rPr>
            <w:rStyle w:val="Hyperlink"/>
            <w:rFonts w:ascii="Arial" w:cs="Arial" w:eastAsia="Arial" w:hAnsi="Arial"/>
            <w:color w:val="595959"/>
            <w:sz w:val="20"/>
            <w:szCs w:val="20"/>
          </w:rPr>
          <w:t xml:space="preserve">9.1  Filosofía financiera</w:t>
        </w:r>
      </w:hyperlink>
    </w:p>
    <w:p>
      <w:pPr>
        <w:spacing w:before="20" w:after="20"/>
        <w:ind w:left="360"/>
      </w:pPr>
      <w:hyperlink w:anchor="section_sec9_2" w:history="1">
        <w:r>
          <w:rPr>
            <w:rStyle w:val="Hyperlink"/>
            <w:rFonts w:ascii="Arial" w:cs="Arial" w:eastAsia="Arial" w:hAnsi="Arial"/>
            <w:color w:val="595959"/>
            <w:sz w:val="20"/>
            <w:szCs w:val="20"/>
          </w:rPr>
          <w:t xml:space="preserve">9.2  Resultados 2025</w:t>
        </w:r>
      </w:hyperlink>
    </w:p>
    <w:p>
      <w:pPr>
        <w:spacing w:before="20" w:after="20"/>
        <w:ind w:left="360"/>
      </w:pPr>
      <w:hyperlink w:anchor="section_sec9_3" w:history="1">
        <w:r>
          <w:rPr>
            <w:rStyle w:val="Hyperlink"/>
            <w:rFonts w:ascii="Arial" w:cs="Arial" w:eastAsia="Arial" w:hAnsi="Arial"/>
            <w:color w:val="595959"/>
            <w:sz w:val="20"/>
            <w:szCs w:val="20"/>
          </w:rPr>
          <w:t xml:space="preserve">9.3  Estructura de ingresos 2025</w:t>
        </w:r>
      </w:hyperlink>
    </w:p>
    <w:p>
      <w:pPr>
        <w:spacing w:before="20" w:after="20"/>
        <w:ind w:left="360"/>
      </w:pPr>
      <w:hyperlink w:anchor="section_sec9_4" w:history="1">
        <w:r>
          <w:rPr>
            <w:rStyle w:val="Hyperlink"/>
            <w:rFonts w:ascii="Arial" w:cs="Arial" w:eastAsia="Arial" w:hAnsi="Arial"/>
            <w:color w:val="595959"/>
            <w:sz w:val="20"/>
            <w:szCs w:val="20"/>
          </w:rPr>
          <w:t xml:space="preserve">9.4  Evolución histórica y proyección</w:t>
        </w:r>
      </w:hyperlink>
    </w:p>
    <w:p>
      <w:pPr>
        <w:spacing w:before="20" w:after="20"/>
        <w:ind w:left="360"/>
      </w:pPr>
      <w:hyperlink w:anchor="section_sec9_5" w:history="1">
        <w:r>
          <w:rPr>
            <w:rStyle w:val="Hyperlink"/>
            <w:rFonts w:ascii="Arial" w:cs="Arial" w:eastAsia="Arial" w:hAnsi="Arial"/>
            <w:color w:val="595959"/>
            <w:sz w:val="20"/>
            <w:szCs w:val="20"/>
          </w:rPr>
          <w:t xml:space="preserve">9.5  Ingresos recurrentes: la base estructural</w:t>
        </w:r>
      </w:hyperlink>
    </w:p>
    <w:p>
      <w:pPr>
        <w:spacing w:before="20" w:after="20"/>
        <w:ind w:left="360"/>
      </w:pPr>
      <w:hyperlink w:anchor="section_sec9_6" w:history="1">
        <w:r>
          <w:rPr>
            <w:rStyle w:val="Hyperlink"/>
            <w:rFonts w:ascii="Arial" w:cs="Arial" w:eastAsia="Arial" w:hAnsi="Arial"/>
            <w:color w:val="595959"/>
            <w:sz w:val="20"/>
            <w:szCs w:val="20"/>
          </w:rPr>
          <w:t xml:space="preserve">9.6  Situación de tesorería y línea de cobro ágil</w:t>
        </w:r>
      </w:hyperlink>
    </w:p>
    <w:p>
      <w:pPr>
        <w:spacing w:before="20" w:after="20"/>
        <w:ind w:left="360"/>
      </w:pPr>
      <w:hyperlink w:anchor="section_sec9_7" w:history="1">
        <w:r>
          <w:rPr>
            <w:rStyle w:val="Hyperlink"/>
            <w:rFonts w:ascii="Arial" w:cs="Arial" w:eastAsia="Arial" w:hAnsi="Arial"/>
            <w:color w:val="595959"/>
            <w:sz w:val="20"/>
            <w:szCs w:val="20"/>
          </w:rPr>
          <w:t xml:space="preserve">9.7  Capacidad instalada y potencial de crecimiento</w:t>
        </w:r>
      </w:hyperlink>
    </w:p>
    <w:p>
      <w:pPr>
        <w:spacing w:before="20" w:after="20"/>
        <w:ind w:left="360"/>
      </w:pPr>
      <w:hyperlink w:anchor="section_sec9_8" w:history="1">
        <w:r>
          <w:rPr>
            <w:rStyle w:val="Hyperlink"/>
            <w:rFonts w:ascii="Arial" w:cs="Arial" w:eastAsia="Arial" w:hAnsi="Arial"/>
            <w:color w:val="595959"/>
            <w:sz w:val="20"/>
            <w:szCs w:val="20"/>
          </w:rPr>
          <w:t xml:space="preserve">9.8  Principales riesgos financieros</w:t>
        </w:r>
      </w:hyperlink>
    </w:p>
    <w:p>
      <w:pPr>
        <w:spacing w:before="60" w:after="60"/>
        <w:ind w:left="0"/>
      </w:pPr>
      <w:hyperlink w:anchor="chapter_ch10" w:history="1">
        <w:r>
          <w:rPr>
            <w:rStyle w:val="Hyperlink"/>
            <w:rFonts w:ascii="Arial" w:cs="Arial" w:eastAsia="Arial" w:hAnsi="Arial"/>
            <w:b/>
            <w:bCs/>
            <w:sz w:val="22"/>
            <w:szCs w:val="22"/>
          </w:rPr>
          <w:t xml:space="preserve">10. MODELO DE RELACIONES INSTITUCIONALES</w:t>
        </w:r>
      </w:hyperlink>
    </w:p>
    <w:p>
      <w:pPr>
        <w:spacing w:before="20" w:after="20"/>
        <w:ind w:left="360"/>
      </w:pPr>
      <w:hyperlink w:anchor="section_sec10_1" w:history="1">
        <w:r>
          <w:rPr>
            <w:rStyle w:val="Hyperlink"/>
            <w:rFonts w:ascii="Arial" w:cs="Arial" w:eastAsia="Arial" w:hAnsi="Arial"/>
            <w:color w:val="595959"/>
            <w:sz w:val="20"/>
            <w:szCs w:val="20"/>
          </w:rPr>
          <w:t xml:space="preserve">10.1  Los ayuntamientos como socios estratégicos</w:t>
        </w:r>
      </w:hyperlink>
    </w:p>
    <w:p>
      <w:pPr>
        <w:spacing w:before="20" w:after="20"/>
        <w:ind w:left="360"/>
      </w:pPr>
      <w:hyperlink w:anchor="section_sec10_2" w:history="1">
        <w:r>
          <w:rPr>
            <w:rStyle w:val="Hyperlink"/>
            <w:rFonts w:ascii="Arial" w:cs="Arial" w:eastAsia="Arial" w:hAnsi="Arial"/>
            <w:color w:val="595959"/>
            <w:sz w:val="20"/>
            <w:szCs w:val="20"/>
          </w:rPr>
          <w:t xml:space="preserve">10.2  La Federación Madrileña de Municipios (FMM)</w:t>
        </w:r>
      </w:hyperlink>
    </w:p>
    <w:p>
      <w:pPr>
        <w:spacing w:before="20" w:after="20"/>
        <w:ind w:left="360"/>
      </w:pPr>
      <w:hyperlink w:anchor="section_sec10_3" w:history="1">
        <w:r>
          <w:rPr>
            <w:rStyle w:val="Hyperlink"/>
            <w:rFonts w:ascii="Arial" w:cs="Arial" w:eastAsia="Arial" w:hAnsi="Arial"/>
            <w:color w:val="595959"/>
            <w:sz w:val="20"/>
            <w:szCs w:val="20"/>
          </w:rPr>
          <w:t xml:space="preserve">10.3  La Comunidad de Madrid</w:t>
        </w:r>
      </w:hyperlink>
    </w:p>
    <w:p>
      <w:pPr>
        <w:spacing w:before="20" w:after="20"/>
        <w:ind w:left="360"/>
      </w:pPr>
      <w:hyperlink w:anchor="section_sec10_4" w:history="1">
        <w:r>
          <w:rPr>
            <w:rStyle w:val="Hyperlink"/>
            <w:rFonts w:ascii="Arial" w:cs="Arial" w:eastAsia="Arial" w:hAnsi="Arial"/>
            <w:color w:val="595959"/>
            <w:sz w:val="20"/>
            <w:szCs w:val="20"/>
          </w:rPr>
          <w:t xml:space="preserve">10.4  Dependencia política: el riesgo sistémico</w:t>
        </w:r>
      </w:hyperlink>
    </w:p>
    <w:p>
      <w:pPr>
        <w:spacing w:before="180" w:after="60"/>
      </w:pPr>
      <w:r>
        <w:rPr>
          <w:rFonts w:ascii="Arial" w:cs="Arial" w:eastAsia="Arial" w:hAnsi="Arial"/>
          <w:b/>
          <w:color w:val="2E75B6"/>
          <w:sz w:val="20"/>
          <w:szCs w:val="20"/>
          <w:caps/>
        </w:rPr>
        <w:t xml:space="preserve">PARTE IV — DÓNDE VAMOS</w:t>
      </w:r>
    </w:p>
    <w:p>
      <w:pPr>
        <w:spacing w:before="60" w:after="60"/>
        <w:ind w:left="0"/>
      </w:pPr>
      <w:hyperlink w:anchor="chapter_ch11" w:history="1">
        <w:r>
          <w:rPr>
            <w:rStyle w:val="Hyperlink"/>
            <w:rFonts w:ascii="Arial" w:cs="Arial" w:eastAsia="Arial" w:hAnsi="Arial"/>
            <w:b/>
            <w:bCs/>
            <w:sz w:val="22"/>
            <w:szCs w:val="22"/>
          </w:rPr>
          <w:t xml:space="preserve">11. VISIÓN DE FUTURO Y RETOS ESTRATÉGICOS</w:t>
        </w:r>
      </w:hyperlink>
    </w:p>
    <w:p>
      <w:pPr>
        <w:spacing w:before="20" w:after="20"/>
        <w:ind w:left="360"/>
      </w:pPr>
      <w:hyperlink w:anchor="section_sec11_1" w:history="1">
        <w:r>
          <w:rPr>
            <w:rStyle w:val="Hyperlink"/>
            <w:rFonts w:ascii="Arial" w:cs="Arial" w:eastAsia="Arial" w:hAnsi="Arial"/>
            <w:color w:val="595959"/>
            <w:sz w:val="20"/>
            <w:szCs w:val="20"/>
          </w:rPr>
          <w:t xml:space="preserve">11.1  Visión a corto plazo (2026)</w:t>
        </w:r>
      </w:hyperlink>
    </w:p>
    <w:p>
      <w:pPr>
        <w:spacing w:before="20" w:after="20"/>
        <w:ind w:left="360"/>
      </w:pPr>
      <w:hyperlink w:anchor="section_sec11_2" w:history="1">
        <w:r>
          <w:rPr>
            <w:rStyle w:val="Hyperlink"/>
            <w:rFonts w:ascii="Arial" w:cs="Arial" w:eastAsia="Arial" w:hAnsi="Arial"/>
            <w:color w:val="595959"/>
            <w:sz w:val="20"/>
            <w:szCs w:val="20"/>
          </w:rPr>
          <w:t xml:space="preserve">11.2  Visión a medio plazo (2027-2028)</w:t>
        </w:r>
      </w:hyperlink>
    </w:p>
    <w:p>
      <w:pPr>
        <w:spacing w:before="20" w:after="20"/>
        <w:ind w:left="360"/>
      </w:pPr>
      <w:hyperlink w:anchor="section_sec11_3" w:history="1">
        <w:r>
          <w:rPr>
            <w:rStyle w:val="Hyperlink"/>
            <w:rFonts w:ascii="Arial" w:cs="Arial" w:eastAsia="Arial" w:hAnsi="Arial"/>
            <w:color w:val="595959"/>
            <w:sz w:val="20"/>
            <w:szCs w:val="20"/>
          </w:rPr>
          <w:t xml:space="preserve">11.3  Visión a largo plazo (2029 en adelante)</w:t>
        </w:r>
      </w:hyperlink>
    </w:p>
    <w:p>
      <w:pPr>
        <w:spacing w:before="20" w:after="20"/>
        <w:ind w:left="360"/>
      </w:pPr>
      <w:hyperlink w:anchor="section_sec11_4" w:history="1">
        <w:r>
          <w:rPr>
            <w:rStyle w:val="Hyperlink"/>
            <w:rFonts w:ascii="Arial" w:cs="Arial" w:eastAsia="Arial" w:hAnsi="Arial"/>
            <w:color w:val="595959"/>
            <w:sz w:val="20"/>
            <w:szCs w:val="20"/>
          </w:rPr>
          <w:t xml:space="preserve">11.4  Los retos que más preocupan</w:t>
        </w:r>
      </w:hyperlink>
    </w:p>
    <w:p>
      <w:pPr>
        <w:spacing w:before="20" w:after="20"/>
        <w:ind w:left="360"/>
      </w:pPr>
      <w:hyperlink w:anchor="section_sec11_5" w:history="1">
        <w:r>
          <w:rPr>
            <w:rStyle w:val="Hyperlink"/>
            <w:rFonts w:ascii="Arial" w:cs="Arial" w:eastAsia="Arial" w:hAnsi="Arial"/>
            <w:color w:val="595959"/>
            <w:sz w:val="20"/>
            <w:szCs w:val="20"/>
          </w:rPr>
          <w:t xml:space="preserve">11.5  Oportunidades no explotadas</w:t>
        </w:r>
      </w:hyperlink>
    </w:p>
    <w:p>
      <w:pPr>
        <w:spacing w:before="60" w:after="60"/>
        <w:ind w:left="0"/>
      </w:pPr>
      <w:hyperlink w:anchor="chapter_ch12" w:history="1">
        <w:r>
          <w:rPr>
            <w:rStyle w:val="Hyperlink"/>
            <w:rFonts w:ascii="Arial" w:cs="Arial" w:eastAsia="Arial" w:hAnsi="Arial"/>
            <w:b/>
            <w:bCs/>
            <w:sz w:val="22"/>
            <w:szCs w:val="22"/>
          </w:rPr>
          <w:t xml:space="preserve">12. APRENDIZAJES CLAVE Y PUNTOS CIEGOS</w:t>
        </w:r>
      </w:hyperlink>
    </w:p>
    <w:p>
      <w:pPr>
        <w:spacing w:before="20" w:after="20"/>
        <w:ind w:left="360"/>
      </w:pPr>
      <w:hyperlink w:anchor="section_sec12_1" w:history="1">
        <w:r>
          <w:rPr>
            <w:rStyle w:val="Hyperlink"/>
            <w:rFonts w:ascii="Arial" w:cs="Arial" w:eastAsia="Arial" w:hAnsi="Arial"/>
            <w:color w:val="595959"/>
            <w:sz w:val="20"/>
            <w:szCs w:val="20"/>
          </w:rPr>
          <w:t xml:space="preserve">12.1  Lo que ha demostrado funcionar</w:t>
        </w:r>
      </w:hyperlink>
    </w:p>
    <w:p>
      <w:pPr>
        <w:spacing w:before="20" w:after="20"/>
        <w:ind w:left="360"/>
      </w:pPr>
      <w:hyperlink w:anchor="section_sec12_2" w:history="1">
        <w:r>
          <w:rPr>
            <w:rStyle w:val="Hyperlink"/>
            <w:rFonts w:ascii="Arial" w:cs="Arial" w:eastAsia="Arial" w:hAnsi="Arial"/>
            <w:color w:val="595959"/>
            <w:sz w:val="20"/>
            <w:szCs w:val="20"/>
          </w:rPr>
          <w:t xml:space="preserve">12.2  Lo que ha generado aprendizajes difíciles</w:t>
        </w:r>
      </w:hyperlink>
    </w:p>
    <w:p>
      <w:pPr>
        <w:spacing w:before="20" w:after="20"/>
        <w:ind w:left="360"/>
      </w:pPr>
      <w:hyperlink w:anchor="section_sec12_3" w:history="1">
        <w:r>
          <w:rPr>
            <w:rStyle w:val="Hyperlink"/>
            <w:rFonts w:ascii="Arial" w:cs="Arial" w:eastAsia="Arial" w:hAnsi="Arial"/>
            <w:color w:val="595959"/>
            <w:sz w:val="20"/>
            <w:szCs w:val="20"/>
          </w:rPr>
          <w:t xml:space="preserve">12.3  Puntos ciegos identificados</w:t>
        </w:r>
      </w:hyperlink>
    </w:p>
    <w:p>
      <w:pPr>
        <w:spacing w:before="180" w:after="60"/>
      </w:pPr>
      <w:r>
        <w:rPr>
          <w:rFonts w:ascii="Arial" w:cs="Arial" w:eastAsia="Arial" w:hAnsi="Arial"/>
          <w:b/>
          <w:color w:val="2E75B6"/>
          <w:sz w:val="20"/>
          <w:szCs w:val="20"/>
          <w:caps/>
        </w:rPr>
        <w:t xml:space="preserve">PARTE V — REFERENCIA</w:t>
      </w:r>
    </w:p>
    <w:p>
      <w:pPr>
        <w:spacing w:before="60" w:after="60"/>
        <w:ind w:left="0"/>
      </w:pPr>
      <w:hyperlink w:anchor="chapter_ch13" w:history="1">
        <w:r>
          <w:rPr>
            <w:rStyle w:val="Hyperlink"/>
            <w:rFonts w:ascii="Arial" w:cs="Arial" w:eastAsia="Arial" w:hAnsi="Arial"/>
            <w:b/>
            <w:bCs/>
            <w:sz w:val="22"/>
            <w:szCs w:val="22"/>
          </w:rPr>
          <w:t xml:space="preserve">13. GLOSARIO Y TÉRMINOS CLAVE</w:t>
        </w:r>
      </w:hyperlink>
    </w:p>
    <w:p>
      <w:pPr>
        <w:spacing w:before="0" w:after="0"/>
      </w:pPr>
      <w:r>
        <w:br w:type="page"/>
      </w:r>
    </w:p>
    <w:p>
      <w:pPr>
        <w:spacing w:before="480" w:after="120"/>
        <w:jc w:val="center"/>
      </w:pPr>
      <w:r>
        <w:rPr>
          <w:rFonts w:ascii="Arial" w:cs="Arial" w:eastAsia="Arial" w:hAnsi="Arial"/>
          <w:b/>
          <w:bCs/>
          <w:color w:val="2E75B6"/>
          <w:sz w:val="28"/>
          <w:szCs w:val="28"/>
          <w:caps/>
        </w:rPr>
        <w:t xml:space="preserve">PARTE I — QUIÉNES SOMOS</w:t>
      </w:r>
    </w:p>
    <w:p>
      <w:pPr>
        <w:pBdr>
          <w:bottom w:val="single" w:color="2E75B6" w:sz="6" w:space="4"/>
        </w:pBdr>
        <w:spacing w:before="0" w:after="240"/>
      </w:pPr>
      <w:r>
        <w:rPr/>
        <w:t/>
      </w:r>
    </w:p>
    <w:p>
      <w:pPr>
        <w:pStyle w:val="Heading1"/>
        <w:pBdr>
          <w:bottom w:val="single" w:color="2E75B6" w:sz="8" w:space="4"/>
        </w:pBdr>
        <w:spacing w:before="480" w:after="240"/>
      </w:pPr>
      <w:bookmarkStart w:id="4593" w:name="chapter_ch1"/>
      <w:bookmarkEnd w:id="4593"/>
      <w:r>
        <w:rPr>
          <w:rFonts w:ascii="Arial" w:cs="Arial" w:eastAsia="Arial" w:hAnsi="Arial"/>
          <w:b/>
          <w:bCs/>
          <w:color w:val="1F3864"/>
          <w:sz w:val="36"/>
          <w:szCs w:val="36"/>
        </w:rPr>
        <w:t xml:space="preserve">1. ORIGEN Y FILOSOFÍA FUNDACIONAL</w:t>
      </w:r>
    </w:p>
    <w:p>
      <w:pPr>
        <w:pStyle w:val="Heading2"/>
        <w:spacing w:before="360" w:after="180"/>
      </w:pPr>
      <w:bookmarkStart w:id="8307" w:name="section_sec1_1"/>
      <w:bookmarkEnd w:id="8307"/>
      <w:r>
        <w:rPr>
          <w:rFonts w:ascii="Arial" w:cs="Arial" w:eastAsia="Arial" w:hAnsi="Arial"/>
          <w:b/>
          <w:bCs/>
          <w:color w:val="2E75B6"/>
          <w:sz w:val="28"/>
          <w:szCs w:val="28"/>
        </w:rPr>
        <w:t xml:space="preserve">1.1 La historia de David Rodríguez</w:t>
      </w:r>
    </w:p>
    <w:p>
      <w:pPr>
        <w:spacing w:before="80" w:after="120"/>
        <w:jc w:val="both"/>
      </w:pPr>
      <w:r>
        <w:rPr>
          <w:rFonts w:ascii="Arial" w:cs="Arial" w:eastAsia="Arial" w:hAnsi="Arial"/>
          <w:sz w:val="22"/>
          <w:szCs w:val="22"/>
        </w:rPr>
        <w:t xml:space="preserve">Fundación Pegasus nace de la experiencia vital de David Rodríguez, nacido en Arganda del Rey con diparesia espástica, una condición que dificulta su forma de andar y su condición física general. Pero lo que más marcó la vida de David no fue su limitación física, sino algo mucho más profundo e invisible: el miedo.</w:t>
      </w:r>
    </w:p>
    <w:p>
      <w:pPr>
        <w:spacing w:before="120" w:after="120"/>
      </w:pPr>
      <w:r>
        <w:t xml:space="preserve"/>
      </w:r>
    </w:p>
    <w:p>
      <w:pPr>
        <w:spacing w:before="80" w:after="120"/>
        <w:jc w:val="both"/>
      </w:pPr>
      <w:r>
        <w:rPr>
          <w:rFonts w:ascii="Arial" w:cs="Arial" w:eastAsia="Arial" w:hAnsi="Arial"/>
          <w:sz w:val="22"/>
          <w:szCs w:val="22"/>
        </w:rPr>
        <w:t xml:space="preserve">De niño, David sintió el rechazo de una sociedad que no acepta lo diferente porque teme lo que no comprende. Aprendió a adaptarse poniéndose distintas máscaras: en ocasiones el 'pobrecito', dependiente de la ayuda de los demás; en otras el 'campeón', autosuficiente y exitoso pese a las dificultades. Ninguna de esas máscaras le acercaba a quien realmente era.</w:t>
      </w:r>
    </w:p>
    <w:p>
      <w:pPr>
        <w:spacing w:before="120" w:after="120"/>
      </w:pPr>
      <w:r>
        <w:t xml:space="preserve"/>
      </w:r>
    </w:p>
    <w:p>
      <w:pPr>
        <w:jc w:val="left"/>
      </w:pPr>
      <w:r>
        <w:rPr>
          <w:rFonts w:ascii="Arial" w:cs="Arial" w:eastAsia="Arial" w:hAnsi="Arial"/>
          <w:i/>
          <w:iCs/>
          <w:color w:val="1A1A2E"/>
          <w:sz w:val="22"/>
          <w:szCs w:val="22"/>
        </w:rPr>
        <w:t xml:space="preserve">"Me di cuenta de que había conseguido ser aceptado, pero a costa de no ser yo mismo."</w:t>
      </w:r>
    </w:p>
    <w:p>
      <w:pPr>
        <w:spacing w:before="120" w:after="120"/>
      </w:pPr>
      <w:r>
        <w:t xml:space="preserve"/>
      </w:r>
    </w:p>
    <w:p>
      <w:pPr>
        <w:spacing w:before="80" w:after="120"/>
        <w:jc w:val="both"/>
      </w:pPr>
      <w:r>
        <w:rPr>
          <w:rFonts w:ascii="Arial" w:cs="Arial" w:eastAsia="Arial" w:hAnsi="Arial"/>
          <w:sz w:val="22"/>
          <w:szCs w:val="22"/>
        </w:rPr>
        <w:t xml:space="preserve">Sus padres le metieron en fisioterapia desde pequeño, con el objetivo de corregir su forma de andar. David sabía que nunca iba a andar recto, y sin embargo someterse a ese proceso normalizador —que no iba a cambiar nada— le generaba un sufrimiento enorme. No era el dolor físico lo que le dañaba. Era el mensaje implícito: 'tal como eres, no eres suficiente. Hay que arreglarte.'</w:t>
      </w:r>
    </w:p>
    <w:p>
      <w:pPr>
        <w:spacing w:before="120" w:after="120"/>
      </w:pPr>
      <w:r>
        <w:t xml:space="preserve"/>
      </w:r>
    </w:p>
    <w:p>
      <w:pPr>
        <w:spacing w:before="80" w:after="120"/>
        <w:jc w:val="both"/>
      </w:pPr>
      <w:r>
        <w:rPr>
          <w:rFonts w:ascii="Arial" w:cs="Arial" w:eastAsia="Arial" w:hAnsi="Arial"/>
          <w:sz w:val="22"/>
          <w:szCs w:val="22"/>
        </w:rPr>
        <w:t xml:space="preserve">De joven, David comprende que lo que realmente le limita no es su forma de andar, sino el miedo a ser rechazado. Se da cuenta de que el miedo no solo le paraliza a él, sino a toda la sociedad. Es este miedo, profundo y paralizante, el que David reconoce como la verdadera discapacidad del ser humano. Y así nace Fundación Pegasus.</w:t>
      </w:r>
    </w:p>
    <w:p>
      <w:pPr>
        <w:pStyle w:val="Heading2"/>
        <w:spacing w:before="360" w:after="180"/>
      </w:pPr>
      <w:bookmarkStart w:id="9078" w:name="section_sec1_2"/>
      <w:bookmarkEnd w:id="9078"/>
      <w:r>
        <w:rPr>
          <w:rFonts w:ascii="Arial" w:cs="Arial" w:eastAsia="Arial" w:hAnsi="Arial"/>
          <w:b/>
          <w:bCs/>
          <w:color w:val="2E75B6"/>
          <w:sz w:val="28"/>
          <w:szCs w:val="28"/>
        </w:rPr>
        <w:t xml:space="preserve">1.2 La tesis fundacional: el miedo como verdadera discapacidad</w:t>
      </w:r>
    </w:p>
    <w:p>
      <w:pPr>
        <w:spacing w:before="80" w:after="120"/>
        <w:jc w:val="both"/>
      </w:pPr>
      <w:r>
        <w:rPr>
          <w:rFonts w:ascii="Arial" w:cs="Arial" w:eastAsia="Arial" w:hAnsi="Arial"/>
          <w:sz w:val="22"/>
          <w:szCs w:val="22"/>
        </w:rPr>
        <w:t xml:space="preserve">Fundación Pegasus es, según su propia definición, la primera entidad del mundo que no lucha contra una enfermedad ni contra un diagnóstico, sino contra la verdadera discapacidad del ser humano: el miedo.</w:t>
      </w:r>
    </w:p>
    <w:p>
      <w:pPr>
        <w:spacing w:before="120" w:after="120"/>
      </w:pPr>
      <w:r>
        <w:t xml:space="preserve"/>
      </w:r>
    </w:p>
    <w:p>
      <w:pPr>
        <w:spacing w:before="80" w:after="120"/>
        <w:jc w:val="both"/>
      </w:pPr>
      <w:r>
        <w:rPr>
          <w:rFonts w:ascii="Arial" w:cs="Arial" w:eastAsia="Arial" w:hAnsi="Arial"/>
          <w:sz w:val="22"/>
          <w:szCs w:val="22"/>
        </w:rPr>
        <w:t xml:space="preserve">El miedo nos iguala. No importa si andas raro, si no hablas bien, o si tienes dos másteres y una hipoteca. Todos, en algún momento, hemos sentido miedo al rechazo, a la soledad, al qué dirán, al fracaso, a no encajar, a perder a alguien.</w:t>
      </w:r>
    </w:p>
    <w:p>
      <w:pPr>
        <w:spacing w:before="120" w:after="120"/>
      </w:pPr>
      <w:r>
        <w:t xml:space="preserve"/>
      </w:r>
    </w:p>
    <w:p>
      <w:pPr>
        <w:spacing w:before="80" w:after="120"/>
        <w:jc w:val="both"/>
      </w:pPr>
      <w:r>
        <w:rPr>
          <w:rFonts w:ascii="Arial" w:cs="Arial" w:eastAsia="Arial" w:hAnsi="Arial"/>
          <w:sz w:val="22"/>
          <w:szCs w:val="22"/>
        </w:rPr>
        <w:t xml:space="preserve">Esta tesis tiene una consecuencia estratégica poderosa: Pegasus no es solo una fundación para personas con discapacidad. Es un movimiento de acceso universal. La discapacidad fue la puerta de entrada, pero el territorio que se descubre al cruzarla es universal. Y el miedo es el puente que permite que cualquier persona, viva o no la discapacidad, pueda conectar emocionalmente con ella.</w:t>
      </w:r>
    </w:p>
    <w:p>
      <w:pPr>
        <w:spacing w:before="120" w:after="120"/>
      </w:pPr>
      <w:r>
        <w:t xml:space="preserve"/>
      </w:r>
    </w:p>
    <w:p>
      <w:pPr>
        <w:jc w:val="left"/>
      </w:pPr>
      <w:r>
        <w:rPr>
          <w:rFonts w:ascii="Arial" w:cs="Arial" w:eastAsia="Arial" w:hAnsi="Arial"/>
          <w:i/>
          <w:iCs/>
          <w:color w:val="1A1A2E"/>
          <w:sz w:val="22"/>
          <w:szCs w:val="22"/>
        </w:rPr>
        <w:t xml:space="preserve">Propósito oficial: "Acompañamos a las personas a ser conscientes de sus miedos y a aceptar sus diferencias para que puedan transformar sus vidas y la sociedad."</w:t>
      </w:r>
    </w:p>
    <w:p>
      <w:pPr>
        <w:pStyle w:val="Heading2"/>
        <w:spacing w:before="360" w:after="180"/>
      </w:pPr>
      <w:bookmarkStart w:id="4427" w:name="section_sec1_3"/>
      <w:bookmarkEnd w:id="4427"/>
      <w:r>
        <w:rPr>
          <w:rFonts w:ascii="Arial" w:cs="Arial" w:eastAsia="Arial" w:hAnsi="Arial"/>
          <w:b/>
          <w:bCs/>
          <w:color w:val="2E75B6"/>
          <w:sz w:val="28"/>
          <w:szCs w:val="28"/>
        </w:rPr>
        <w:t xml:space="preserve">1.3 La filosofía operativa: no normalizar, acompañar</w:t>
      </w:r>
    </w:p>
    <w:p>
      <w:pPr>
        <w:spacing w:before="80" w:after="120"/>
        <w:jc w:val="both"/>
      </w:pPr>
      <w:r>
        <w:rPr>
          <w:rFonts w:ascii="Arial" w:cs="Arial" w:eastAsia="Arial" w:hAnsi="Arial"/>
          <w:sz w:val="22"/>
          <w:szCs w:val="22"/>
        </w:rPr>
        <w:t xml:space="preserve">Una consecuencia directa de esta filosofía es que Pegasus rechaza explícitamente el paradigma de la normalización. No quiere 'arreglar' a nadie. No trabaja para que las personas con discapacidad funcionen como personas sin discapacidad. Trabaja para que todas las personas —con o sin discapacidad— puedan ser felices siendo quienes son.</w:t>
      </w:r>
    </w:p>
    <w:p>
      <w:pPr>
        <w:spacing w:before="120" w:after="120"/>
      </w:pPr>
      <w:r>
        <w:t xml:space="preserve"/>
      </w:r>
    </w:p>
    <w:p>
      <w:pPr>
        <w:spacing w:before="80" w:after="120"/>
        <w:jc w:val="both"/>
      </w:pPr>
      <w:r>
        <w:rPr>
          <w:rFonts w:ascii="Arial" w:cs="Arial" w:eastAsia="Arial" w:hAnsi="Arial"/>
          <w:sz w:val="22"/>
          <w:szCs w:val="22"/>
        </w:rPr>
        <w:t xml:space="preserve">Esto se traduce en una metodología de intervención transversal a todos los proyectos, compuesta por tres pilares:</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Inteligencia emocional: base de todo el trabajo. Se trabaja desde la emoción para aceptar, nombrar y transformar lo que se siente.</w:t>
      </w:r>
    </w:p>
    <w:p>
      <w:pPr>
        <w:pStyle w:val="ListParagraph"/>
        <w:numPr>
          <w:ilvl w:val="0"/>
          <w:numId w:val="2"/>
        </w:numPr>
        <w:spacing w:before="60" w:after="60"/>
      </w:pPr>
      <w:r>
        <w:rPr>
          <w:rFonts w:ascii="Arial" w:cs="Arial" w:eastAsia="Arial" w:hAnsi="Arial"/>
          <w:b w:val="false"/>
          <w:bCs w:val="false"/>
          <w:sz w:val="22"/>
          <w:szCs w:val="22"/>
        </w:rPr>
        <w:t xml:space="preserve">El juego: herramienta principal de conexión. Al jugar, las personas bajan la guardia, se muestran como son y aprenden sin darse cuenta.</w:t>
      </w:r>
    </w:p>
    <w:p>
      <w:pPr>
        <w:pStyle w:val="ListParagraph"/>
        <w:numPr>
          <w:ilvl w:val="0"/>
          <w:numId w:val="2"/>
        </w:numPr>
        <w:spacing w:before="60" w:after="60"/>
      </w:pPr>
      <w:r>
        <w:rPr>
          <w:rFonts w:ascii="Arial" w:cs="Arial" w:eastAsia="Arial" w:hAnsi="Arial"/>
          <w:b w:val="false"/>
          <w:bCs w:val="false"/>
          <w:sz w:val="22"/>
          <w:szCs w:val="22"/>
        </w:rPr>
        <w:t xml:space="preserve">El humor: lenguaje humano. Se usa para romper el hielo y afrontar con ligereza lo que a veces pesa.</w:t>
      </w:r>
    </w:p>
    <w:p>
      <w:pPr>
        <w:pStyle w:val="Heading2"/>
        <w:spacing w:before="360" w:after="180"/>
      </w:pPr>
      <w:bookmarkStart w:id="2669" w:name="section_sec1_4"/>
      <w:bookmarkEnd w:id="2669"/>
      <w:r>
        <w:rPr>
          <w:rFonts w:ascii="Arial" w:cs="Arial" w:eastAsia="Arial" w:hAnsi="Arial"/>
          <w:b/>
          <w:bCs/>
          <w:color w:val="2E75B6"/>
          <w:sz w:val="28"/>
          <w:szCs w:val="28"/>
        </w:rPr>
        <w:t xml:space="preserve">1.4 El modelo sin paternalismo</w:t>
      </w:r>
    </w:p>
    <w:p>
      <w:pPr>
        <w:spacing w:before="80" w:after="120"/>
        <w:jc w:val="both"/>
      </w:pPr>
      <w:r>
        <w:rPr>
          <w:rFonts w:ascii="Arial" w:cs="Arial" w:eastAsia="Arial" w:hAnsi="Arial"/>
          <w:sz w:val="22"/>
          <w:szCs w:val="22"/>
        </w:rPr>
        <w:t xml:space="preserve">Uno de los valores más diferenciales de Pegasus como organización es su rechazo explícito al paternalismo del tercer sector. Pegasus no acepta donativos ni voluntariado. Esta decisión, que en principio podría parecer un sacrificio económico, es en realidad una decisión filosófica y estratégica de primer orden.</w:t>
      </w:r>
    </w:p>
    <w:p>
      <w:pPr>
        <w:spacing w:before="120" w:after="120"/>
      </w:pPr>
      <w:r>
        <w:t xml:space="preserve"/>
      </w:r>
    </w:p>
    <w:p>
      <w:pPr>
        <w:spacing w:before="80" w:after="120"/>
        <w:jc w:val="both"/>
      </w:pPr>
      <w:r>
        <w:rPr>
          <w:rFonts w:ascii="Arial" w:cs="Arial" w:eastAsia="Arial" w:hAnsi="Arial"/>
          <w:sz w:val="22"/>
          <w:szCs w:val="22"/>
        </w:rPr>
        <w:t xml:space="preserve">El razonamiento es el siguiente: las organizaciones que viven de donaciones y voluntariado construyen una relación de dependencia y condescendencia con las personas a las que sirven. Pegasus cree en un tercer sector profesionalizado, donde los servicios se pagan porque tienen valor real, y donde los trabajadores son profesionales bien formados, no voluntarios bien intencionados.</w:t>
      </w:r>
    </w:p>
    <w:p>
      <w:pPr>
        <w:spacing w:before="120" w:after="120"/>
      </w:pPr>
      <w:r>
        <w:t xml:space="preserve"/>
      </w:r>
    </w:p>
    <w:p>
      <w:pPr>
        <w:spacing w:before="80" w:after="120"/>
        <w:jc w:val="both"/>
      </w:pPr>
      <w:r>
        <w:rPr>
          <w:rFonts w:ascii="Arial" w:cs="Arial" w:eastAsia="Arial" w:hAnsi="Arial"/>
          <w:sz w:val="22"/>
          <w:szCs w:val="22"/>
        </w:rPr>
        <w:t xml:space="preserve">En consecuencia, Pegasus ha construido un modelo de negocio propio que genera ingresos por el valor que crea, y destina esos ingresos a financiar servicios accesibles para las familias. Es un círculo virtuoso: la consultoría y los servicios institucionales financian la accesibilidad de las terapias y el deporte.</w:t>
      </w:r>
    </w:p>
    <w:p>
      <w:pPr>
        <w:pStyle w:val="Heading2"/>
        <w:spacing w:before="360" w:after="180"/>
      </w:pPr>
      <w:bookmarkStart w:id="753" w:name="section_sec1_5"/>
      <w:bookmarkEnd w:id="753"/>
      <w:r>
        <w:rPr>
          <w:rFonts w:ascii="Arial" w:cs="Arial" w:eastAsia="Arial" w:hAnsi="Arial"/>
          <w:b/>
          <w:bCs/>
          <w:color w:val="2E75B6"/>
          <w:sz w:val="28"/>
          <w:szCs w:val="28"/>
        </w:rPr>
        <w:t xml:space="preserve">1.5 El eslogan y la marca</w:t>
      </w:r>
    </w:p>
    <w:p>
      <w:pPr>
        <w:spacing w:before="80" w:after="120"/>
        <w:jc w:val="both"/>
      </w:pPr>
      <w:r>
        <w:rPr>
          <w:rFonts w:ascii="Arial" w:cs="Arial" w:eastAsia="Arial" w:hAnsi="Arial"/>
          <w:sz w:val="22"/>
          <w:szCs w:val="22"/>
        </w:rPr>
        <w:t xml:space="preserve">El eslogan de Fundación Pegasus, 'Lo mío no es normal, pero lo tuyo tampoco', es también el título del libro de David Rodríguez y el nombre de su cuenta de Instagram (@lomiononesnormal). Esta frase sintetiza perfectamente la filosofía de la organización: nadie es normal, todos somos diferentes, y eso no es un problema. Es lo que nos une.</w:t>
      </w:r>
    </w:p>
    <w:p>
      <w:pPr>
        <w:spacing w:before="120" w:after="120"/>
      </w:pPr>
      <w:r>
        <w:t xml:space="preserve"/>
      </w:r>
    </w:p>
    <w:p>
      <w:pPr>
        <w:spacing w:before="80" w:after="120"/>
        <w:jc w:val="both"/>
      </w:pPr>
      <w:r>
        <w:rPr>
          <w:rFonts w:ascii="Arial" w:cs="Arial" w:eastAsia="Arial" w:hAnsi="Arial"/>
          <w:sz w:val="22"/>
          <w:szCs w:val="22"/>
        </w:rPr>
        <w:t xml:space="preserve">La cuenta personal de David en Instagram acumula 60.000 seguidores, frente a los 20.000 de la cuenta institucional de Pegasus. Esto refleja una realidad estratégica importante: la marca personal de David es más potente que la marca institucional, y es el principal motor de visibilidad y captación de la organización.</w:t>
      </w:r>
    </w:p>
    <w:p>
      <w:r>
        <w:br w:type="page"/>
      </w:r>
    </w:p>
    <w:p>
      <w:pPr>
        <w:pStyle w:val="Heading1"/>
        <w:pBdr>
          <w:bottom w:val="single" w:color="2E75B6" w:sz="8" w:space="4"/>
        </w:pBdr>
        <w:spacing w:before="480" w:after="240"/>
      </w:pPr>
      <w:bookmarkStart w:id="7772" w:name="chapter_ch2"/>
      <w:bookmarkEnd w:id="7772"/>
      <w:r>
        <w:rPr>
          <w:rFonts w:ascii="Arial" w:cs="Arial" w:eastAsia="Arial" w:hAnsi="Arial"/>
          <w:b/>
          <w:bCs/>
          <w:color w:val="1F3864"/>
          <w:sz w:val="36"/>
          <w:szCs w:val="36"/>
        </w:rPr>
        <w:t xml:space="preserve">2. IDENTIDAD CORPORATIVA Y CULTURA</w:t>
      </w:r>
    </w:p>
    <w:p>
      <w:pPr>
        <w:pStyle w:val="Heading2"/>
        <w:spacing w:before="360" w:after="180"/>
      </w:pPr>
      <w:bookmarkStart w:id="4984" w:name="section_sec2_1"/>
      <w:bookmarkEnd w:id="4984"/>
      <w:r>
        <w:rPr>
          <w:rFonts w:ascii="Arial" w:cs="Arial" w:eastAsia="Arial" w:hAnsi="Arial"/>
          <w:b/>
          <w:bCs/>
          <w:color w:val="2E75B6"/>
          <w:sz w:val="28"/>
          <w:szCs w:val="28"/>
        </w:rPr>
        <w:t xml:space="preserve">2.1 Misión, visión y propósito</w:t>
      </w:r>
    </w:p>
    <w:p>
      <w:pPr>
        <w:spacing w:before="120" w:after="120"/>
      </w:pPr>
      <w:r>
        <w:t xml:space="preserve"/>
      </w:r>
    </w:p>
    <w:p>
      <w:pPr>
        <w:jc w:val="left"/>
      </w:pPr>
      <w:r>
        <w:rPr>
          <w:rFonts w:ascii="Arial" w:cs="Arial" w:eastAsia="Arial" w:hAnsi="Arial"/>
          <w:i/>
          <w:iCs/>
          <w:color w:val="1A1A2E"/>
          <w:sz w:val="22"/>
          <w:szCs w:val="22"/>
        </w:rPr>
        <w:t xml:space="preserve">MISIÓN: Acompañar a las personas a ser conscientes de sus miedos y a aceptar sus diferencias para que puedan transformar sus vidas y la sociedad.</w:t>
      </w:r>
    </w:p>
    <w:p>
      <w:pPr>
        <w:spacing w:before="120" w:after="120"/>
      </w:pPr>
      <w:r>
        <w:t xml:space="preserve"/>
      </w:r>
    </w:p>
    <w:p>
      <w:pPr>
        <w:jc w:val="left"/>
      </w:pPr>
      <w:r>
        <w:rPr>
          <w:rFonts w:ascii="Arial" w:cs="Arial" w:eastAsia="Arial" w:hAnsi="Arial"/>
          <w:i/>
          <w:iCs/>
          <w:color w:val="1A1A2E"/>
          <w:sz w:val="22"/>
          <w:szCs w:val="22"/>
        </w:rPr>
        <w:t xml:space="preserve">VISIÓN: Ser el movimiento social de referencia mundial en la lucha contra el miedo como verdadera discapacidad del ser humano.</w:t>
      </w:r>
    </w:p>
    <w:p>
      <w:pPr>
        <w:spacing w:before="120" w:after="120"/>
      </w:pPr>
      <w:r>
        <w:t xml:space="preserve"/>
      </w:r>
    </w:p>
    <w:p>
      <w:pPr>
        <w:jc w:val="left"/>
      </w:pPr>
      <w:r>
        <w:rPr>
          <w:rFonts w:ascii="Arial" w:cs="Arial" w:eastAsia="Arial" w:hAnsi="Arial"/>
          <w:i/>
          <w:iCs/>
          <w:color w:val="1A1A2E"/>
          <w:sz w:val="22"/>
          <w:szCs w:val="22"/>
        </w:rPr>
        <w:t xml:space="preserve">PROPÓSITO: Transformar el miedo en aceptación y amor, construyendo una sociedad donde la diferencia sea celebrada y no temida.</w:t>
      </w:r>
    </w:p>
    <w:p>
      <w:pPr>
        <w:pStyle w:val="Heading2"/>
        <w:spacing w:before="360" w:after="180"/>
      </w:pPr>
      <w:bookmarkStart w:id="6031" w:name="section_sec2_2"/>
      <w:bookmarkEnd w:id="6031"/>
      <w:r>
        <w:rPr>
          <w:rFonts w:ascii="Arial" w:cs="Arial" w:eastAsia="Arial" w:hAnsi="Arial"/>
          <w:b/>
          <w:bCs/>
          <w:color w:val="2E75B6"/>
          <w:sz w:val="28"/>
          <w:szCs w:val="28"/>
        </w:rPr>
        <w:t xml:space="preserve">2.2 Valores y compromisos</w:t>
      </w:r>
    </w:p>
    <w:p>
      <w:pPr>
        <w:spacing w:before="80" w:after="120"/>
        <w:jc w:val="both"/>
      </w:pPr>
      <w:r>
        <w:rPr>
          <w:rFonts w:ascii="Arial" w:cs="Arial" w:eastAsia="Arial" w:hAnsi="Arial"/>
          <w:sz w:val="22"/>
          <w:szCs w:val="22"/>
        </w:rPr>
        <w:t xml:space="preserve">Pegasus define su cultura como 'amorosa'. Cuatro valores fundamentales sostienen esa cultura:</w:t>
      </w:r>
    </w:p>
    <w:p>
      <w:pPr>
        <w:spacing w:before="120" w:after="120"/>
      </w:pPr>
      <w:r>
        <w:t xml:space="preserve"/>
      </w:r>
    </w:p>
    <w:p>
      <w:pPr>
        <w:pStyle w:val="Heading3"/>
        <w:spacing w:before="240" w:after="120"/>
      </w:pPr>
      <w:r>
        <w:rPr>
          <w:rFonts w:ascii="Arial" w:cs="Arial" w:eastAsia="Arial" w:hAnsi="Arial"/>
          <w:b/>
          <w:bCs/>
          <w:color w:val="333333"/>
          <w:sz w:val="24"/>
          <w:szCs w:val="24"/>
        </w:rPr>
        <w:t xml:space="preserve">Vulnerabilidad</w:t>
      </w:r>
    </w:p>
    <w:p>
      <w:pPr>
        <w:spacing w:before="80" w:after="120"/>
        <w:jc w:val="both"/>
      </w:pPr>
      <w:r>
        <w:rPr>
          <w:rFonts w:ascii="Arial" w:cs="Arial" w:eastAsia="Arial" w:hAnsi="Arial"/>
          <w:sz w:val="22"/>
          <w:szCs w:val="22"/>
        </w:rPr>
        <w:t xml:space="preserve">Reflexionar sobre uno mismo, reconocer las fragilidades y aceptarse tal y como se es. El compromiso es mirar hacia dentro y compartir con honestidad lo que se siente.</w:t>
      </w:r>
    </w:p>
    <w:p>
      <w:pPr>
        <w:pStyle w:val="Heading3"/>
        <w:spacing w:before="240" w:after="120"/>
      </w:pPr>
      <w:r>
        <w:rPr>
          <w:rFonts w:ascii="Arial" w:cs="Arial" w:eastAsia="Arial" w:hAnsi="Arial"/>
          <w:b/>
          <w:bCs/>
          <w:color w:val="333333"/>
          <w:sz w:val="24"/>
          <w:szCs w:val="24"/>
        </w:rPr>
        <w:t xml:space="preserve">Empatía</w:t>
      </w:r>
    </w:p>
    <w:p>
      <w:pPr>
        <w:spacing w:before="80" w:after="120"/>
        <w:jc w:val="both"/>
      </w:pPr>
      <w:r>
        <w:rPr>
          <w:rFonts w:ascii="Arial" w:cs="Arial" w:eastAsia="Arial" w:hAnsi="Arial"/>
          <w:sz w:val="22"/>
          <w:szCs w:val="22"/>
        </w:rPr>
        <w:t xml:space="preserve">Acercarse al otro desde el corazón, escuchando su historia y necesidades sin juzgar. El compromiso es prestar atención plena y acoger cada experiencia con respeto incondicional.</w:t>
      </w:r>
    </w:p>
    <w:p>
      <w:pPr>
        <w:pStyle w:val="Heading3"/>
        <w:spacing w:before="240" w:after="120"/>
      </w:pPr>
      <w:r>
        <w:rPr>
          <w:rFonts w:ascii="Arial" w:cs="Arial" w:eastAsia="Arial" w:hAnsi="Arial"/>
          <w:b/>
          <w:bCs/>
          <w:color w:val="333333"/>
          <w:sz w:val="24"/>
          <w:szCs w:val="24"/>
        </w:rPr>
        <w:t xml:space="preserve">Valentía</w:t>
      </w:r>
    </w:p>
    <w:p>
      <w:pPr>
        <w:spacing w:before="80" w:after="120"/>
        <w:jc w:val="both"/>
      </w:pPr>
      <w:r>
        <w:rPr>
          <w:rFonts w:ascii="Arial" w:cs="Arial" w:eastAsia="Arial" w:hAnsi="Arial"/>
          <w:sz w:val="22"/>
          <w:szCs w:val="22"/>
        </w:rPr>
        <w:t xml:space="preserve">Atreverse a mostrarse vulnerable, crecer pese al miedo, decir lo que otros callan y explorar lo desconocido. El compromiso es exponer con coraje las ideas y sentimientos, generando confianza en cada interacción.</w:t>
      </w:r>
    </w:p>
    <w:p>
      <w:pPr>
        <w:pStyle w:val="Heading3"/>
        <w:spacing w:before="240" w:after="120"/>
      </w:pPr>
      <w:r>
        <w:rPr>
          <w:rFonts w:ascii="Arial" w:cs="Arial" w:eastAsia="Arial" w:hAnsi="Arial"/>
          <w:b/>
          <w:bCs/>
          <w:color w:val="333333"/>
          <w:sz w:val="24"/>
          <w:szCs w:val="24"/>
        </w:rPr>
        <w:t xml:space="preserve">Honestidad</w:t>
      </w:r>
    </w:p>
    <w:p>
      <w:pPr>
        <w:spacing w:before="80" w:after="120"/>
        <w:jc w:val="both"/>
      </w:pPr>
      <w:r>
        <w:rPr>
          <w:rFonts w:ascii="Arial" w:cs="Arial" w:eastAsia="Arial" w:hAnsi="Arial"/>
          <w:sz w:val="22"/>
          <w:szCs w:val="22"/>
        </w:rPr>
        <w:t xml:space="preserve">Actuar con coherencia y transparencia, fieles a la esencia propia y a la de los demás. El compromiso es tomar cada acción en base a lo que se piensa, siente y cree.</w:t>
      </w:r>
    </w:p>
    <w:p>
      <w:pPr>
        <w:pStyle w:val="Heading2"/>
        <w:spacing w:before="360" w:after="180"/>
      </w:pPr>
      <w:bookmarkStart w:id="8557" w:name="section_sec2_3"/>
      <w:bookmarkEnd w:id="8557"/>
      <w:r>
        <w:rPr>
          <w:rFonts w:ascii="Arial" w:cs="Arial" w:eastAsia="Arial" w:hAnsi="Arial"/>
          <w:b/>
          <w:bCs/>
          <w:color w:val="2E75B6"/>
          <w:sz w:val="28"/>
          <w:szCs w:val="28"/>
        </w:rPr>
        <w:t xml:space="preserve">2.3 Metodología transversal: Inteligencia Emocional + Juego + Humor</w:t>
      </w:r>
    </w:p>
    <w:p>
      <w:pPr>
        <w:spacing w:before="80" w:after="120"/>
        <w:jc w:val="both"/>
      </w:pPr>
      <w:r>
        <w:rPr>
          <w:rFonts w:ascii="Arial" w:cs="Arial" w:eastAsia="Arial" w:hAnsi="Arial"/>
          <w:sz w:val="22"/>
          <w:szCs w:val="22"/>
        </w:rPr>
        <w:t xml:space="preserve">La metodología de Pegasus es única en el sector y se aplica de forma transversal a todos sus proyectos. No se trata de una metodología clínica o académica, sino de un enfoque vivencial que combina tres elementos:</w:t>
      </w:r>
    </w:p>
    <w:p>
      <w:pPr>
        <w:spacing w:before="120" w:after="120"/>
      </w:pPr>
      <w:r>
        <w:t xml:space="preserve"/>
      </w:r>
    </w:p>
    <w:p>
      <w:r>
        <w:rPr>
          <w:rFonts w:ascii="Arial" w:cs="Arial" w:eastAsia="Arial" w:hAnsi="Arial"/>
          <w:b/>
          <w:bCs/>
          <w:color w:val="FFFFFF"/>
          <w:sz w:val="20"/>
          <w:szCs w:val="20"/>
        </w:rPr>
        <w:t xml:space="preserve">Pilar</w:t>
      </w:r>
    </w:p>
    <w:p>
      <w:r>
        <w:rPr>
          <w:rFonts w:ascii="Arial" w:cs="Arial" w:eastAsia="Arial" w:hAnsi="Arial"/>
          <w:b/>
          <w:bCs/>
          <w:color w:val="FFFFFF"/>
          <w:sz w:val="20"/>
          <w:szCs w:val="20"/>
        </w:rPr>
        <w:t xml:space="preserve">Descripción</w:t>
      </w:r>
    </w:p>
    <w:p>
      <w:r>
        <w:rPr>
          <w:rFonts w:ascii="Arial" w:cs="Arial" w:eastAsia="Arial" w:hAnsi="Arial"/>
          <w:b/>
          <w:bCs/>
          <w:color w:val="FFFFFF"/>
          <w:sz w:val="20"/>
          <w:szCs w:val="20"/>
        </w:rPr>
        <w:t xml:space="preserve">Objetivo</w:t>
      </w:r>
    </w:p>
    <w:p>
      <w:r>
        <w:rPr>
          <w:rFonts w:ascii="Arial" w:cs="Arial" w:eastAsia="Arial" w:hAnsi="Arial"/>
          <w:b w:val="false"/>
          <w:bCs w:val="false"/>
          <w:color w:val="1A1A1A"/>
          <w:sz w:val="20"/>
          <w:szCs w:val="20"/>
        </w:rPr>
        <w:t xml:space="preserve">Inteligencia Emocional</w:t>
      </w:r>
    </w:p>
    <w:p>
      <w:r>
        <w:rPr>
          <w:rFonts w:ascii="Arial" w:cs="Arial" w:eastAsia="Arial" w:hAnsi="Arial"/>
          <w:b w:val="false"/>
          <w:bCs w:val="false"/>
          <w:color w:val="1A1A1A"/>
          <w:sz w:val="20"/>
          <w:szCs w:val="20"/>
        </w:rPr>
        <w:t xml:space="preserve">Base de todo el trabajo. Se trabaja desde la emoción.</w:t>
      </w:r>
    </w:p>
    <w:p>
      <w:r>
        <w:rPr>
          <w:rFonts w:ascii="Arial" w:cs="Arial" w:eastAsia="Arial" w:hAnsi="Arial"/>
          <w:b w:val="false"/>
          <w:bCs w:val="false"/>
          <w:color w:val="1A1A1A"/>
          <w:sz w:val="20"/>
          <w:szCs w:val="20"/>
        </w:rPr>
        <w:t xml:space="preserve">Aceptar, nombrar y transformar lo que se siente.</w:t>
      </w:r>
    </w:p>
    <w:p>
      <w:r>
        <w:rPr>
          <w:rFonts w:ascii="Arial" w:cs="Arial" w:eastAsia="Arial" w:hAnsi="Arial"/>
          <w:b w:val="false"/>
          <w:bCs w:val="false"/>
          <w:color w:val="1A1A1A"/>
          <w:sz w:val="20"/>
          <w:szCs w:val="20"/>
        </w:rPr>
        <w:t xml:space="preserve">El Juego</w:t>
      </w:r>
    </w:p>
    <w:p>
      <w:r>
        <w:rPr>
          <w:rFonts w:ascii="Arial" w:cs="Arial" w:eastAsia="Arial" w:hAnsi="Arial"/>
          <w:b w:val="false"/>
          <w:bCs w:val="false"/>
          <w:color w:val="1A1A1A"/>
          <w:sz w:val="20"/>
          <w:szCs w:val="20"/>
        </w:rPr>
        <w:t xml:space="preserve">Herramienta principal de conexión y aprendizaje.</w:t>
      </w:r>
    </w:p>
    <w:p>
      <w:r>
        <w:rPr>
          <w:rFonts w:ascii="Arial" w:cs="Arial" w:eastAsia="Arial" w:hAnsi="Arial"/>
          <w:b w:val="false"/>
          <w:bCs w:val="false"/>
          <w:color w:val="1A1A1A"/>
          <w:sz w:val="20"/>
          <w:szCs w:val="20"/>
        </w:rPr>
        <w:t xml:space="preserve">Convertir el aprendizaje en experiencia significativa.</w:t>
      </w:r>
    </w:p>
    <w:p>
      <w:r>
        <w:rPr>
          <w:rFonts w:ascii="Arial" w:cs="Arial" w:eastAsia="Arial" w:hAnsi="Arial"/>
          <w:b w:val="false"/>
          <w:bCs w:val="false"/>
          <w:color w:val="1A1A1A"/>
          <w:sz w:val="20"/>
          <w:szCs w:val="20"/>
        </w:rPr>
        <w:t xml:space="preserve">El Humor</w:t>
      </w:r>
    </w:p>
    <w:p>
      <w:r>
        <w:rPr>
          <w:rFonts w:ascii="Arial" w:cs="Arial" w:eastAsia="Arial" w:hAnsi="Arial"/>
          <w:b w:val="false"/>
          <w:bCs w:val="false"/>
          <w:color w:val="1A1A1A"/>
          <w:sz w:val="20"/>
          <w:szCs w:val="20"/>
        </w:rPr>
        <w:t xml:space="preserve">Lenguaje humano para romper barreras.</w:t>
      </w:r>
    </w:p>
    <w:p>
      <w:r>
        <w:rPr>
          <w:rFonts w:ascii="Arial" w:cs="Arial" w:eastAsia="Arial" w:hAnsi="Arial"/>
          <w:b w:val="false"/>
          <w:bCs w:val="false"/>
          <w:color w:val="1A1A1A"/>
          <w:sz w:val="20"/>
          <w:szCs w:val="20"/>
        </w:rPr>
        <w:t xml:space="preserve">Que lo aprendido no se olvide porque pasó por el corazón.</w:t>
      </w:r>
    </w:p>
    <w:p>
      <w:pPr>
        <w:spacing w:before="120" w:after="120"/>
      </w:pPr>
      <w:r>
        <w:t xml:space="preserve"/>
      </w:r>
    </w:p>
    <w:p>
      <w:pPr>
        <w:spacing w:before="80" w:after="120"/>
        <w:jc w:val="both"/>
      </w:pPr>
      <w:r>
        <w:rPr>
          <w:rFonts w:ascii="Arial" w:cs="Arial" w:eastAsia="Arial" w:hAnsi="Arial"/>
          <w:sz w:val="22"/>
          <w:szCs w:val="22"/>
        </w:rPr>
        <w:t xml:space="preserve">Esta metodología se materializa de forma diferente en cada proyecto, pero siempre parte del mismo principio: lo que no se siente no se transforma.</w:t>
      </w:r>
    </w:p>
    <w:p>
      <w:pPr>
        <w:pStyle w:val="Heading2"/>
        <w:spacing w:before="360" w:after="180"/>
      </w:pPr>
      <w:bookmarkStart w:id="2810" w:name="section_sec2_4"/>
      <w:bookmarkEnd w:id="2810"/>
      <w:r>
        <w:rPr>
          <w:rFonts w:ascii="Arial" w:cs="Arial" w:eastAsia="Arial" w:hAnsi="Arial"/>
          <w:b/>
          <w:bCs/>
          <w:color w:val="2E75B6"/>
          <w:sz w:val="28"/>
          <w:szCs w:val="28"/>
        </w:rPr>
        <w:t xml:space="preserve">2.4 Cultura interna: la dinámica emocional del equipo</w:t>
      </w:r>
    </w:p>
    <w:p>
      <w:pPr>
        <w:spacing w:before="80" w:after="120"/>
        <w:jc w:val="both"/>
      </w:pPr>
      <w:r>
        <w:rPr>
          <w:rFonts w:ascii="Arial" w:cs="Arial" w:eastAsia="Arial" w:hAnsi="Arial"/>
          <w:sz w:val="22"/>
          <w:szCs w:val="22"/>
        </w:rPr>
        <w:t xml:space="preserve">La cultura interna de Pegasus es coherente con su filosofía externa. Dos veces por semana (martes y viernes), el equipo dedica una hora a dinámicas de carácter emocional. Estas sesiones, dirigidas por David y por Rober (Director Técnico), no son team buildings convencionales. Son espacios donde el equipo trabaja sus propios miedos, sus fricciones con familias y usuarios, sus bloqueos personales.</w:t>
      </w:r>
    </w:p>
    <w:p>
      <w:pPr>
        <w:spacing w:before="120" w:after="120"/>
      </w:pPr>
      <w:r>
        <w:t xml:space="preserve"/>
      </w:r>
    </w:p>
    <w:p>
      <w:pPr>
        <w:spacing w:before="80" w:after="120"/>
        <w:jc w:val="both"/>
      </w:pPr>
      <w:r>
        <w:rPr>
          <w:rFonts w:ascii="Arial" w:cs="Arial" w:eastAsia="Arial" w:hAnsi="Arial"/>
          <w:sz w:val="22"/>
          <w:szCs w:val="22"/>
        </w:rPr>
        <w:t xml:space="preserve">El fundamento es claro: para poder acompañar emocionalmente a una familia que acaba de recibir un diagnóstico de discapacidad, primero es necesario haber mirado los propios miedos a la cara. Los trabajadores de Pegasus no pueden dar lo que no tienen. Por eso, la organización invierte en el desarrollo emocional de su equipo como condición necesaria para la calidad del servicio.</w:t>
      </w:r>
    </w:p>
    <w:p>
      <w:pPr>
        <w:spacing w:before="120" w:after="120"/>
      </w:pPr>
      <w:r>
        <w:t xml:space="preserve"/>
      </w:r>
    </w:p>
    <w:p>
      <w:pPr>
        <w:spacing w:before="80" w:after="120"/>
        <w:jc w:val="both"/>
      </w:pPr>
      <w:r>
        <w:rPr>
          <w:rFonts w:ascii="Arial" w:cs="Arial" w:eastAsia="Arial" w:hAnsi="Arial"/>
          <w:sz w:val="22"/>
          <w:szCs w:val="22"/>
        </w:rPr>
        <w:t xml:space="preserve">Entre las dinámicas realizadas destaca el 'Mapa de los Miedos', donde el equipo de dirección identifica de forma individual sus miedos troncales y los comparte. El resultado es revelador: no existen 'miedos de trabajo', sino miedos humanos que se activan en el trabajo. Al ponerlos sobre la mesa, dejan de controlar las decisiones de forma inconsciente.</w:t>
      </w:r>
    </w:p>
    <w:p>
      <w:pPr>
        <w:spacing w:before="120" w:after="120"/>
      </w:pPr>
      <w:r>
        <w:t xml:space="preserve"/>
      </w:r>
    </w:p>
    <w:p>
      <w:pPr>
        <w:jc w:val="left"/>
      </w:pPr>
      <w:r>
        <w:rPr>
          <w:rFonts w:ascii="Arial" w:cs="Arial" w:eastAsia="Arial" w:hAnsi="Arial"/>
          <w:i/>
          <w:iCs/>
          <w:color w:val="1A1A2E"/>
          <w:sz w:val="22"/>
          <w:szCs w:val="22"/>
        </w:rPr>
        <w:t xml:space="preserve">"La magia no es que los miedos desaparezcan, es que dejen de ser invisibles. Al ponerlos sobre el tablero, dejan de controlar nuestras decisiones de forma inconsciente." — David Rodríguez</w:t>
      </w:r>
    </w:p>
    <w:p>
      <w:pPr>
        <w:spacing w:before="120" w:after="120"/>
      </w:pPr>
      <w:r>
        <w:t xml:space="preserve"/>
      </w:r>
    </w:p>
    <w:p>
      <w:pPr>
        <w:spacing w:before="80" w:after="120"/>
        <w:jc w:val="both"/>
      </w:pPr>
      <w:r>
        <w:rPr>
          <w:rFonts w:ascii="Arial" w:cs="Arial" w:eastAsia="Arial" w:hAnsi="Arial"/>
          <w:sz w:val="22"/>
          <w:szCs w:val="22"/>
        </w:rPr>
        <w:t xml:space="preserve">NOTA CRÍTICA: Pegasus tiene un Cultural Identity Book desarrollado en 2025 con una consultora de branding que documenta estos valores y dinámicas en profundidad. Sin embargo, este documento no ha podido ser implementado de forma explícita internamente por limitaciones de tiempo y recursos operativos. Es una asignatura pendiente importante.</w:t>
      </w:r>
    </w:p>
    <w:p>
      <w:pPr>
        <w:pStyle w:val="Heading2"/>
        <w:spacing w:before="360" w:after="180"/>
      </w:pPr>
      <w:bookmarkStart w:id="3069" w:name="section_sec2_5"/>
      <w:bookmarkEnd w:id="3069"/>
      <w:r>
        <w:rPr>
          <w:rFonts w:ascii="Arial" w:cs="Arial" w:eastAsia="Arial" w:hAnsi="Arial"/>
          <w:b/>
          <w:bCs/>
          <w:color w:val="2E75B6"/>
          <w:sz w:val="28"/>
          <w:szCs w:val="28"/>
        </w:rPr>
        <w:t xml:space="preserve">2.5 Limitaciones culturales actuales</w:t>
      </w:r>
    </w:p>
    <w:p>
      <w:pPr>
        <w:spacing w:before="80" w:after="120"/>
        <w:jc w:val="both"/>
      </w:pPr>
      <w:r>
        <w:rPr>
          <w:rFonts w:ascii="Arial" w:cs="Arial" w:eastAsia="Arial" w:hAnsi="Arial"/>
          <w:sz w:val="22"/>
          <w:szCs w:val="22"/>
        </w:rPr>
        <w:t xml:space="preserve">Existe una brecha reconocida entre la cultura que Pegasus aspira a ser y la que vive el equipo en el día a día. Las causas principales son:</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El equipo es mayoritariamente junior, lo que implica menores niveles de madurez emocional y menor arraigo a los valores.</w:t>
      </w:r>
    </w:p>
    <w:p>
      <w:pPr>
        <w:pStyle w:val="ListParagraph"/>
        <w:numPr>
          <w:ilvl w:val="0"/>
          <w:numId w:val="2"/>
        </w:numPr>
        <w:spacing w:before="60" w:after="60"/>
      </w:pPr>
      <w:r>
        <w:rPr>
          <w:rFonts w:ascii="Arial" w:cs="Arial" w:eastAsia="Arial" w:hAnsi="Arial"/>
          <w:b w:val="false"/>
          <w:bCs w:val="false"/>
          <w:sz w:val="22"/>
          <w:szCs w:val="22"/>
        </w:rPr>
        <w:t xml:space="preserve">Las jornadas parciales en TPT e IS dificultan la construcción de un vínculo profundo con la organización.</w:t>
      </w:r>
    </w:p>
    <w:p>
      <w:pPr>
        <w:pStyle w:val="ListParagraph"/>
        <w:numPr>
          <w:ilvl w:val="0"/>
          <w:numId w:val="2"/>
        </w:numPr>
        <w:spacing w:before="60" w:after="60"/>
      </w:pPr>
      <w:r>
        <w:rPr>
          <w:rFonts w:ascii="Arial" w:cs="Arial" w:eastAsia="Arial" w:hAnsi="Arial"/>
          <w:b w:val="false"/>
          <w:bCs w:val="false"/>
          <w:sz w:val="22"/>
          <w:szCs w:val="22"/>
        </w:rPr>
        <w:t xml:space="preserve">La presión operativa cotidiana deja poco espacio para el trabajo cultural sistemático.</w:t>
      </w:r>
    </w:p>
    <w:p>
      <w:pPr>
        <w:pStyle w:val="ListParagraph"/>
        <w:numPr>
          <w:ilvl w:val="0"/>
          <w:numId w:val="2"/>
        </w:numPr>
        <w:spacing w:before="60" w:after="60"/>
      </w:pPr>
      <w:r>
        <w:rPr>
          <w:rFonts w:ascii="Arial" w:cs="Arial" w:eastAsia="Arial" w:hAnsi="Arial"/>
          <w:b w:val="false"/>
          <w:bCs w:val="false"/>
          <w:sz w:val="22"/>
          <w:szCs w:val="22"/>
        </w:rPr>
        <w:t xml:space="preserve">La dispersión geográfica del equipo (varios municipios de la Comunidad de Madrid) complica la cohesión.</w:t>
      </w:r>
    </w:p>
    <w:p>
      <w:pPr>
        <w:pStyle w:val="ListParagraph"/>
        <w:numPr>
          <w:ilvl w:val="0"/>
          <w:numId w:val="2"/>
        </w:numPr>
        <w:spacing w:before="60" w:after="60"/>
      </w:pPr>
      <w:r>
        <w:rPr>
          <w:rFonts w:ascii="Arial" w:cs="Arial" w:eastAsia="Arial" w:hAnsi="Arial"/>
          <w:b w:val="false"/>
          <w:bCs w:val="false"/>
          <w:sz w:val="22"/>
          <w:szCs w:val="22"/>
        </w:rPr>
        <w:t xml:space="preserve">Existen roces internos puntuales, inevitables en cualquier organización en crecimiento acelerado.</w:t>
      </w:r>
    </w:p>
    <w:p>
      <w:pPr>
        <w:spacing w:before="120" w:after="120"/>
      </w:pPr>
      <w:r>
        <w:t xml:space="preserve"/>
      </w:r>
    </w:p>
    <w:p>
      <w:pPr>
        <w:spacing w:before="80" w:after="120"/>
        <w:jc w:val="both"/>
      </w:pPr>
      <w:r>
        <w:rPr>
          <w:rFonts w:ascii="Arial" w:cs="Arial" w:eastAsia="Arial" w:hAnsi="Arial"/>
          <w:sz w:val="22"/>
          <w:szCs w:val="22"/>
        </w:rPr>
        <w:t xml:space="preserve">Pese a estas limitaciones, las dinámicas emocionales semanales son un diferencial real en el sector, y generan un nivel de cohesión y sentido de pertenencia muy superior al de otras organizaciones similares.</w:t>
      </w:r>
    </w:p>
    <w:p>
      <w:r>
        <w:br w:type="page"/>
      </w:r>
    </w:p>
    <w:p>
      <w:pPr>
        <w:pStyle w:val="Heading1"/>
        <w:pBdr>
          <w:bottom w:val="single" w:color="2E75B6" w:sz="8" w:space="4"/>
        </w:pBdr>
        <w:spacing w:before="480" w:after="240"/>
      </w:pPr>
      <w:bookmarkStart w:id="7080" w:name="chapter_ch3"/>
      <w:bookmarkEnd w:id="7080"/>
      <w:r>
        <w:rPr>
          <w:rFonts w:ascii="Arial" w:cs="Arial" w:eastAsia="Arial" w:hAnsi="Arial"/>
          <w:b/>
          <w:bCs/>
          <w:color w:val="1F3864"/>
          <w:sz w:val="36"/>
          <w:szCs w:val="36"/>
        </w:rPr>
        <w:t xml:space="preserve">3. ESTRUCTURA ORGANIZATIVA</w:t>
      </w:r>
    </w:p>
    <w:p>
      <w:pPr>
        <w:pStyle w:val="Heading2"/>
        <w:spacing w:before="360" w:after="180"/>
      </w:pPr>
      <w:bookmarkStart w:id="9271" w:name="section_sec3_1"/>
      <w:bookmarkEnd w:id="9271"/>
      <w:r>
        <w:rPr>
          <w:rFonts w:ascii="Arial" w:cs="Arial" w:eastAsia="Arial" w:hAnsi="Arial"/>
          <w:b/>
          <w:bCs/>
          <w:color w:val="2E75B6"/>
          <w:sz w:val="28"/>
          <w:szCs w:val="28"/>
        </w:rPr>
        <w:t xml:space="preserve">3.1 Gobierno de la organización</w:t>
      </w:r>
    </w:p>
    <w:p>
      <w:pPr>
        <w:pStyle w:val="Heading3"/>
        <w:spacing w:before="240" w:after="120"/>
      </w:pPr>
      <w:r>
        <w:rPr>
          <w:rFonts w:ascii="Arial" w:cs="Arial" w:eastAsia="Arial" w:hAnsi="Arial"/>
          <w:b/>
          <w:bCs/>
          <w:color w:val="333333"/>
          <w:sz w:val="24"/>
          <w:szCs w:val="24"/>
        </w:rPr>
        <w:t xml:space="preserve">El Patronato</w:t>
      </w:r>
    </w:p>
    <w:p>
      <w:pPr>
        <w:spacing w:before="80" w:after="120"/>
        <w:jc w:val="both"/>
      </w:pPr>
      <w:r>
        <w:rPr>
          <w:rFonts w:ascii="Arial" w:cs="Arial" w:eastAsia="Arial" w:hAnsi="Arial"/>
          <w:sz w:val="22"/>
          <w:szCs w:val="22"/>
        </w:rPr>
        <w:t xml:space="preserve">El Patronato es el órgano de gobierno superior de Fundación Pegasus. Ejerce una función de supervisión y protección hacia la dirección ejecutiva. Está compuesto principalmente por la familia de David Rodríguez. Su función es fundamentalmente de gobernanza institucional y no interfiere en la gestión operativa del día a día.</w:t>
      </w:r>
    </w:p>
    <w:p>
      <w:pPr>
        <w:pStyle w:val="Heading3"/>
        <w:spacing w:before="240" w:after="120"/>
      </w:pPr>
      <w:r>
        <w:rPr>
          <w:rFonts w:ascii="Arial" w:cs="Arial" w:eastAsia="Arial" w:hAnsi="Arial"/>
          <w:b/>
          <w:bCs/>
          <w:color w:val="333333"/>
          <w:sz w:val="24"/>
          <w:szCs w:val="24"/>
        </w:rPr>
        <w:t xml:space="preserve">El Consejo Asesor</w:t>
      </w:r>
    </w:p>
    <w:p>
      <w:pPr>
        <w:spacing w:before="80" w:after="120"/>
        <w:jc w:val="both"/>
      </w:pPr>
      <w:r>
        <w:rPr>
          <w:rFonts w:ascii="Arial" w:cs="Arial" w:eastAsia="Arial" w:hAnsi="Arial"/>
          <w:sz w:val="22"/>
          <w:szCs w:val="22"/>
        </w:rPr>
        <w:t xml:space="preserve">El Consejo Asesor es un órgano de naturaleza consultiva, compuesto por empresarios y directivos de primer nivel que aportan perspectiva estratégica cuando es necesario. No tiene funciones ejecutivas. Su composición actual incluye perfiles de alta calidad empresarial:</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CEO de Iberex</w:t>
      </w:r>
    </w:p>
    <w:p>
      <w:pPr>
        <w:pStyle w:val="ListParagraph"/>
        <w:numPr>
          <w:ilvl w:val="0"/>
          <w:numId w:val="2"/>
        </w:numPr>
        <w:spacing w:before="60" w:after="60"/>
      </w:pPr>
      <w:r>
        <w:rPr>
          <w:rFonts w:ascii="Arial" w:cs="Arial" w:eastAsia="Arial" w:hAnsi="Arial"/>
          <w:b w:val="false"/>
          <w:bCs w:val="false"/>
          <w:sz w:val="22"/>
          <w:szCs w:val="22"/>
        </w:rPr>
        <w:t xml:space="preserve">CEO de Grupas Aguilar</w:t>
      </w:r>
    </w:p>
    <w:p>
      <w:pPr>
        <w:pStyle w:val="ListParagraph"/>
        <w:numPr>
          <w:ilvl w:val="0"/>
          <w:numId w:val="2"/>
        </w:numPr>
        <w:spacing w:before="60" w:after="60"/>
      </w:pPr>
      <w:r>
        <w:rPr>
          <w:rFonts w:ascii="Arial" w:cs="Arial" w:eastAsia="Arial" w:hAnsi="Arial"/>
          <w:b w:val="false"/>
          <w:bCs w:val="false"/>
          <w:sz w:val="22"/>
          <w:szCs w:val="22"/>
        </w:rPr>
        <w:t xml:space="preserve">Sergi Bennet</w:t>
      </w:r>
    </w:p>
    <w:p>
      <w:pPr>
        <w:pStyle w:val="ListParagraph"/>
        <w:numPr>
          <w:ilvl w:val="0"/>
          <w:numId w:val="2"/>
        </w:numPr>
        <w:spacing w:before="60" w:after="60"/>
      </w:pPr>
      <w:r>
        <w:rPr>
          <w:rFonts w:ascii="Arial" w:cs="Arial" w:eastAsia="Arial" w:hAnsi="Arial"/>
          <w:b w:val="false"/>
          <w:bCs w:val="false"/>
          <w:sz w:val="22"/>
          <w:szCs w:val="22"/>
        </w:rPr>
        <w:t xml:space="preserve">José Antonio Sevilla (ex CEO de Altafit, empresa que vendió recientemente)</w:t>
      </w:r>
    </w:p>
    <w:p>
      <w:pPr>
        <w:pStyle w:val="ListParagraph"/>
        <w:numPr>
          <w:ilvl w:val="0"/>
          <w:numId w:val="2"/>
        </w:numPr>
        <w:spacing w:before="60" w:after="60"/>
      </w:pPr>
      <w:r>
        <w:rPr>
          <w:rFonts w:ascii="Arial" w:cs="Arial" w:eastAsia="Arial" w:hAnsi="Arial"/>
          <w:b w:val="false"/>
          <w:bCs w:val="false"/>
          <w:sz w:val="22"/>
          <w:szCs w:val="22"/>
        </w:rPr>
        <w:t xml:space="preserve">Otros perfiles empresariales de referencia</w:t>
      </w:r>
    </w:p>
    <w:p>
      <w:pPr>
        <w:spacing w:before="120" w:after="120"/>
      </w:pPr>
      <w:r>
        <w:t xml:space="preserve"/>
      </w:r>
    </w:p>
    <w:p>
      <w:pPr>
        <w:spacing w:before="80" w:after="120"/>
        <w:jc w:val="both"/>
      </w:pPr>
      <w:r>
        <w:rPr>
          <w:rFonts w:ascii="Arial" w:cs="Arial" w:eastAsia="Arial" w:hAnsi="Arial"/>
          <w:sz w:val="22"/>
          <w:szCs w:val="22"/>
        </w:rPr>
        <w:t xml:space="preserve">El Consejo Asesor representa un activo estratégico relevante para el crecimiento de la organización, especialmente para la apertura de puertas en el mundo empresarial y para el asesoramiento en decisiones de escala.</w:t>
      </w:r>
    </w:p>
    <w:p>
      <w:pPr>
        <w:pStyle w:val="Heading2"/>
        <w:spacing w:before="360" w:after="180"/>
      </w:pPr>
      <w:bookmarkStart w:id="860" w:name="section_sec3_2"/>
      <w:bookmarkEnd w:id="860"/>
      <w:r>
        <w:rPr>
          <w:rFonts w:ascii="Arial" w:cs="Arial" w:eastAsia="Arial" w:hAnsi="Arial"/>
          <w:b/>
          <w:bCs/>
          <w:color w:val="2E75B6"/>
          <w:sz w:val="28"/>
          <w:szCs w:val="28"/>
        </w:rPr>
        <w:t xml:space="preserve">3.2 El equipo directivo</w:t>
      </w:r>
    </w:p>
    <w:p>
      <w:pPr>
        <w:spacing w:before="120" w:after="120"/>
      </w:pPr>
      <w:r>
        <w:t xml:space="preserve"/>
      </w:r>
    </w:p>
    <w:p>
      <w:r>
        <w:rPr>
          <w:rFonts w:ascii="Arial" w:cs="Arial" w:eastAsia="Arial" w:hAnsi="Arial"/>
          <w:b/>
          <w:bCs/>
          <w:color w:val="FFFFFF"/>
          <w:sz w:val="20"/>
          <w:szCs w:val="20"/>
        </w:rPr>
        <w:t xml:space="preserve">Nombre</w:t>
      </w:r>
    </w:p>
    <w:p>
      <w:r>
        <w:rPr>
          <w:rFonts w:ascii="Arial" w:cs="Arial" w:eastAsia="Arial" w:hAnsi="Arial"/>
          <w:b/>
          <w:bCs/>
          <w:color w:val="FFFFFF"/>
          <w:sz w:val="20"/>
          <w:szCs w:val="20"/>
        </w:rPr>
        <w:t xml:space="preserve">Cargo</w:t>
      </w:r>
    </w:p>
    <w:p>
      <w:r>
        <w:rPr>
          <w:rFonts w:ascii="Arial" w:cs="Arial" w:eastAsia="Arial" w:hAnsi="Arial"/>
          <w:b/>
          <w:bCs/>
          <w:color w:val="FFFFFF"/>
          <w:sz w:val="20"/>
          <w:szCs w:val="20"/>
        </w:rPr>
        <w:t xml:space="preserve">Rol principal</w:t>
      </w:r>
    </w:p>
    <w:p>
      <w:r>
        <w:rPr>
          <w:rFonts w:ascii="Arial" w:cs="Arial" w:eastAsia="Arial" w:hAnsi="Arial"/>
          <w:b w:val="false"/>
          <w:bCs w:val="false"/>
          <w:color w:val="1A1A1A"/>
          <w:sz w:val="20"/>
          <w:szCs w:val="20"/>
        </w:rPr>
        <w:t xml:space="preserve">David Rodríguez</w:t>
      </w:r>
    </w:p>
    <w:p>
      <w:r>
        <w:rPr>
          <w:rFonts w:ascii="Arial" w:cs="Arial" w:eastAsia="Arial" w:hAnsi="Arial"/>
          <w:b w:val="false"/>
          <w:bCs w:val="false"/>
          <w:color w:val="1A1A1A"/>
          <w:sz w:val="20"/>
          <w:szCs w:val="20"/>
        </w:rPr>
        <w:t xml:space="preserve">CEO / Fundador</w:t>
      </w:r>
    </w:p>
    <w:p>
      <w:r>
        <w:rPr>
          <w:rFonts w:ascii="Arial" w:cs="Arial" w:eastAsia="Arial" w:hAnsi="Arial"/>
          <w:b w:val="false"/>
          <w:bCs w:val="false"/>
          <w:color w:val="1A1A1A"/>
          <w:sz w:val="20"/>
          <w:szCs w:val="20"/>
        </w:rPr>
        <w:t xml:space="preserve">Visión estratégica, representación institucional, conferencias, cara pública de la organización y corresponsable de servicios.</w:t>
      </w:r>
    </w:p>
    <w:p>
      <w:r>
        <w:rPr>
          <w:rFonts w:ascii="Arial" w:cs="Arial" w:eastAsia="Arial" w:hAnsi="Arial"/>
          <w:b w:val="false"/>
          <w:bCs w:val="false"/>
          <w:color w:val="1A1A1A"/>
          <w:sz w:val="20"/>
          <w:szCs w:val="20"/>
        </w:rPr>
        <w:t xml:space="preserve">Álvaro Díaz</w:t>
      </w:r>
    </w:p>
    <w:p>
      <w:r>
        <w:rPr>
          <w:rFonts w:ascii="Arial" w:cs="Arial" w:eastAsia="Arial" w:hAnsi="Arial"/>
          <w:b w:val="false"/>
          <w:bCs w:val="false"/>
          <w:color w:val="1A1A1A"/>
          <w:sz w:val="20"/>
          <w:szCs w:val="20"/>
        </w:rPr>
        <w:t xml:space="preserve">CFO / Director de Indiferente</w:t>
      </w:r>
    </w:p>
    <w:p>
      <w:r>
        <w:rPr>
          <w:rFonts w:ascii="Arial" w:cs="Arial" w:eastAsia="Arial" w:hAnsi="Arial"/>
          <w:b w:val="false"/>
          <w:bCs w:val="false"/>
          <w:color w:val="1A1A1A"/>
          <w:sz w:val="20"/>
          <w:szCs w:val="20"/>
        </w:rPr>
        <w:t xml:space="preserve">Dirección financiera, gestión de tesorería, administración, y dirección del proyecto Indiferente.</w:t>
      </w:r>
    </w:p>
    <w:p>
      <w:r>
        <w:rPr>
          <w:rFonts w:ascii="Arial" w:cs="Arial" w:eastAsia="Arial" w:hAnsi="Arial"/>
          <w:b w:val="false"/>
          <w:bCs w:val="false"/>
          <w:color w:val="1A1A1A"/>
          <w:sz w:val="20"/>
          <w:szCs w:val="20"/>
        </w:rPr>
        <w:t xml:space="preserve">Álvaro Marrero (Marre)</w:t>
      </w:r>
    </w:p>
    <w:p>
      <w:r>
        <w:rPr>
          <w:rFonts w:ascii="Arial" w:cs="Arial" w:eastAsia="Arial" w:hAnsi="Arial"/>
          <w:b w:val="false"/>
          <w:bCs w:val="false"/>
          <w:color w:val="1A1A1A"/>
          <w:sz w:val="20"/>
          <w:szCs w:val="20"/>
        </w:rPr>
        <w:t xml:space="preserve">Director Estratégico / Marketing e IT</w:t>
      </w:r>
    </w:p>
    <w:p>
      <w:r>
        <w:rPr>
          <w:rFonts w:ascii="Arial" w:cs="Arial" w:eastAsia="Arial" w:hAnsi="Arial"/>
          <w:b w:val="false"/>
          <w:bCs w:val="false"/>
          <w:color w:val="1A1A1A"/>
          <w:sz w:val="20"/>
          <w:szCs w:val="20"/>
        </w:rPr>
        <w:t xml:space="preserve">Apoyo estratégico a la dirección. Marketing, digitalización, branding, optimización de servicios y propuestas de rebranding y comunicación.</w:t>
      </w:r>
    </w:p>
    <w:p>
      <w:r>
        <w:rPr>
          <w:rFonts w:ascii="Arial" w:cs="Arial" w:eastAsia="Arial" w:hAnsi="Arial"/>
          <w:b w:val="false"/>
          <w:bCs w:val="false"/>
          <w:color w:val="1A1A1A"/>
          <w:sz w:val="20"/>
          <w:szCs w:val="20"/>
        </w:rPr>
        <w:t xml:space="preserve">Rober</w:t>
      </w:r>
    </w:p>
    <w:p>
      <w:r>
        <w:rPr>
          <w:rFonts w:ascii="Arial" w:cs="Arial" w:eastAsia="Arial" w:hAnsi="Arial"/>
          <w:b w:val="false"/>
          <w:bCs w:val="false"/>
          <w:color w:val="1A1A1A"/>
          <w:sz w:val="20"/>
          <w:szCs w:val="20"/>
        </w:rPr>
        <w:t xml:space="preserve">Director Técnico</w:t>
      </w:r>
    </w:p>
    <w:p>
      <w:r>
        <w:rPr>
          <w:rFonts w:ascii="Arial" w:cs="Arial" w:eastAsia="Arial" w:hAnsi="Arial"/>
          <w:b w:val="false"/>
          <w:bCs w:val="false"/>
          <w:color w:val="1A1A1A"/>
          <w:sz w:val="20"/>
          <w:szCs w:val="20"/>
        </w:rPr>
        <w:t xml:space="preserve">Responsable de la metodología de intervención transversal a TPT, IS e Indiferente.</w:t>
      </w:r>
    </w:p>
    <w:p>
      <w:r>
        <w:rPr>
          <w:rFonts w:ascii="Arial" w:cs="Arial" w:eastAsia="Arial" w:hAnsi="Arial"/>
          <w:b w:val="false"/>
          <w:bCs w:val="false"/>
          <w:color w:val="1A1A1A"/>
          <w:sz w:val="20"/>
          <w:szCs w:val="20"/>
        </w:rPr>
        <w:t xml:space="preserve">Davilín</w:t>
      </w:r>
    </w:p>
    <w:p>
      <w:r>
        <w:rPr>
          <w:rFonts w:ascii="Arial" w:cs="Arial" w:eastAsia="Arial" w:hAnsi="Arial"/>
          <w:b w:val="false"/>
          <w:bCs w:val="false"/>
          <w:color w:val="1A1A1A"/>
          <w:sz w:val="20"/>
          <w:szCs w:val="20"/>
        </w:rPr>
        <w:t xml:space="preserve">Administración y Contabilidad</w:t>
      </w:r>
    </w:p>
    <w:p>
      <w:r>
        <w:rPr>
          <w:rFonts w:ascii="Arial" w:cs="Arial" w:eastAsia="Arial" w:hAnsi="Arial"/>
          <w:b w:val="false"/>
          <w:bCs w:val="false"/>
          <w:color w:val="1A1A1A"/>
          <w:sz w:val="20"/>
          <w:szCs w:val="20"/>
        </w:rPr>
        <w:t xml:space="preserve">Contabilidad, RRHH, tramitación administrativa. Perfil junior procedente de firma de auditoría.</w:t>
      </w:r>
    </w:p>
    <w:p>
      <w:r>
        <w:rPr>
          <w:rFonts w:ascii="Arial" w:cs="Arial" w:eastAsia="Arial" w:hAnsi="Arial"/>
          <w:b w:val="false"/>
          <w:bCs w:val="false"/>
          <w:color w:val="1A1A1A"/>
          <w:sz w:val="20"/>
          <w:szCs w:val="20"/>
        </w:rPr>
        <w:t xml:space="preserve">Iris</w:t>
      </w:r>
    </w:p>
    <w:p>
      <w:r>
        <w:rPr>
          <w:rFonts w:ascii="Arial" w:cs="Arial" w:eastAsia="Arial" w:hAnsi="Arial"/>
          <w:b w:val="false"/>
          <w:bCs w:val="false"/>
          <w:color w:val="1A1A1A"/>
          <w:sz w:val="20"/>
          <w:szCs w:val="20"/>
        </w:rPr>
        <w:t xml:space="preserve">Directora de Servicios</w:t>
      </w:r>
    </w:p>
    <w:p>
      <w:r>
        <w:rPr>
          <w:rFonts w:ascii="Arial" w:cs="Arial" w:eastAsia="Arial" w:hAnsi="Arial"/>
          <w:b w:val="false"/>
          <w:bCs w:val="false"/>
          <w:color w:val="1A1A1A"/>
          <w:sz w:val="20"/>
          <w:szCs w:val="20"/>
        </w:rPr>
        <w:t xml:space="preserve">Dirección de los servicios de TPT e IS. Perfil con alta antigüedad en la organización, profundo conocimiento operativo y relacional con familias y profesionales. Referente interno en la gestión del día a día de los centros.</w:t>
      </w:r>
    </w:p>
    <w:p>
      <w:r>
        <w:rPr>
          <w:rFonts w:ascii="Arial" w:cs="Arial" w:eastAsia="Arial" w:hAnsi="Arial"/>
          <w:b w:val="false"/>
          <w:bCs w:val="false"/>
          <w:color w:val="1A1A1A"/>
          <w:sz w:val="20"/>
          <w:szCs w:val="20"/>
        </w:rPr>
        <w:t xml:space="preserve">Fran</w:t>
      </w:r>
    </w:p>
    <w:p>
      <w:r>
        <w:rPr>
          <w:rFonts w:ascii="Arial" w:cs="Arial" w:eastAsia="Arial" w:hAnsi="Arial"/>
          <w:b w:val="false"/>
          <w:bCs w:val="false"/>
          <w:color w:val="1A1A1A"/>
          <w:sz w:val="20"/>
          <w:szCs w:val="20"/>
        </w:rPr>
        <w:t xml:space="preserve">Ejecutivo de Cuentas (Indiferente)</w:t>
      </w:r>
    </w:p>
    <w:p>
      <w:r>
        <w:rPr>
          <w:rFonts w:ascii="Arial" w:cs="Arial" w:eastAsia="Arial" w:hAnsi="Arial"/>
          <w:b w:val="false"/>
          <w:bCs w:val="false"/>
          <w:color w:val="1A1A1A"/>
          <w:sz w:val="20"/>
          <w:szCs w:val="20"/>
        </w:rPr>
        <w:t xml:space="preserve">Desarrollo y gestión de cuentas del proyecto Indiferente.</w:t>
      </w:r>
    </w:p>
    <w:p>
      <w:pPr>
        <w:pStyle w:val="Heading2"/>
        <w:spacing w:before="360" w:after="180"/>
      </w:pPr>
      <w:bookmarkStart w:id="615" w:name="section_sec3_4"/>
      <w:bookmarkEnd w:id="615"/>
      <w:r>
        <w:rPr>
          <w:rFonts w:ascii="Arial" w:cs="Arial" w:eastAsia="Arial" w:hAnsi="Arial"/>
          <w:b/>
          <w:bCs/>
          <w:color w:val="2E75B6"/>
          <w:sz w:val="28"/>
          <w:szCs w:val="28"/>
        </w:rPr>
        <w:t xml:space="preserve">3.3 Estructura operativa de servicios</w:t>
      </w:r>
    </w:p>
    <w:p>
      <w:pPr>
        <w:pStyle w:val="Heading3"/>
        <w:spacing w:before="240" w:after="120"/>
      </w:pPr>
      <w:r>
        <w:rPr>
          <w:rFonts w:ascii="Arial" w:cs="Arial" w:eastAsia="Arial" w:hAnsi="Arial"/>
          <w:b/>
          <w:bCs/>
          <w:color w:val="333333"/>
          <w:sz w:val="24"/>
          <w:szCs w:val="24"/>
        </w:rPr>
        <w:t xml:space="preserve">Terapia Para Todos</w:t>
      </w:r>
    </w:p>
    <w:p>
      <w:pPr>
        <w:spacing w:before="80" w:after="120"/>
        <w:jc w:val="both"/>
      </w:pPr>
      <w:r>
        <w:rPr>
          <w:rFonts w:ascii="Arial" w:cs="Arial" w:eastAsia="Arial" w:hAnsi="Arial"/>
          <w:sz w:val="22"/>
          <w:szCs w:val="22"/>
        </w:rPr>
        <w:t xml:space="preserve">TPT cuenta actualmente con 23 terapeutas, 2 coordinadores de zona y 1 director, distribuidos geográficamente en dos zonas:</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Zona 1 — Coordinadora: María Álvarez. Centros: Móstoles, Leganés, Valdemoro, San Agustín de Guadalix, municipios FMM.</w:t>
      </w:r>
    </w:p>
    <w:p>
      <w:pPr>
        <w:pStyle w:val="ListParagraph"/>
        <w:numPr>
          <w:ilvl w:val="0"/>
          <w:numId w:val="2"/>
        </w:numPr>
        <w:spacing w:before="60" w:after="60"/>
      </w:pPr>
      <w:r>
        <w:rPr>
          <w:rFonts w:ascii="Arial" w:cs="Arial" w:eastAsia="Arial" w:hAnsi="Arial"/>
          <w:b w:val="false"/>
          <w:bCs w:val="false"/>
          <w:sz w:val="22"/>
          <w:szCs w:val="22"/>
        </w:rPr>
        <w:t xml:space="preserve">Zona 2 — Coordinadora: Ana García. Centros: Arganda del Rey, Rivas-Vaciamadrid, Torrejón de Ardoz.</w:t>
      </w:r>
    </w:p>
    <w:p>
      <w:pPr>
        <w:pStyle w:val="Heading3"/>
        <w:spacing w:before="240" w:after="120"/>
      </w:pPr>
      <w:r>
        <w:rPr>
          <w:rFonts w:ascii="Arial" w:cs="Arial" w:eastAsia="Arial" w:hAnsi="Arial"/>
          <w:b/>
          <w:bCs/>
          <w:color w:val="333333"/>
          <w:sz w:val="24"/>
          <w:szCs w:val="24"/>
        </w:rPr>
        <w:t xml:space="preserve">Inclusive Sport</w:t>
      </w:r>
    </w:p>
    <w:p>
      <w:pPr>
        <w:spacing w:before="80" w:after="120"/>
        <w:jc w:val="both"/>
      </w:pPr>
      <w:r>
        <w:rPr>
          <w:rFonts w:ascii="Arial" w:cs="Arial" w:eastAsia="Arial" w:hAnsi="Arial"/>
          <w:sz w:val="22"/>
          <w:szCs w:val="22"/>
        </w:rPr>
        <w:t xml:space="preserve">IS cuenta con 2 coordinadores de zona y el número de monitores varía según los servicios activos:</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Zona 1 — Coordinadora: Irene Burgos. Centros: Arganda del Rey, Torrejón, Paracuellos, Rivas, Cuatro Caminos.</w:t>
      </w:r>
    </w:p>
    <w:p>
      <w:pPr>
        <w:pStyle w:val="ListParagraph"/>
        <w:numPr>
          <w:ilvl w:val="0"/>
          <w:numId w:val="2"/>
        </w:numPr>
        <w:spacing w:before="60" w:after="60"/>
      </w:pPr>
      <w:r>
        <w:rPr>
          <w:rFonts w:ascii="Arial" w:cs="Arial" w:eastAsia="Arial" w:hAnsi="Arial"/>
          <w:b w:val="false"/>
          <w:bCs w:val="false"/>
          <w:sz w:val="22"/>
          <w:szCs w:val="22"/>
        </w:rPr>
        <w:t xml:space="preserve">Zona 2 — Coordinador: José Luis Mena. Centros: Navalcarnero, Móstoles, Leganés, Valdemoro, Cebada y Sportrade.</w:t>
      </w:r>
    </w:p>
    <w:p>
      <w:pPr>
        <w:pStyle w:val="Heading3"/>
        <w:spacing w:before="240" w:after="120"/>
      </w:pPr>
      <w:r>
        <w:rPr>
          <w:rFonts w:ascii="Arial" w:cs="Arial" w:eastAsia="Arial" w:hAnsi="Arial"/>
          <w:b/>
          <w:bCs/>
          <w:color w:val="333333"/>
          <w:sz w:val="24"/>
          <w:szCs w:val="24"/>
        </w:rPr>
        <w:t xml:space="preserve">Indiferente</w:t>
      </w:r>
    </w:p>
    <w:p>
      <w:pPr>
        <w:spacing w:before="80" w:after="120"/>
        <w:jc w:val="both"/>
      </w:pPr>
      <w:r>
        <w:rPr>
          <w:rFonts w:ascii="Arial" w:cs="Arial" w:eastAsia="Arial" w:hAnsi="Arial"/>
          <w:sz w:val="22"/>
          <w:szCs w:val="22"/>
        </w:rPr>
        <w:t xml:space="preserve">Indiferente cuenta con un equipo muy reducido: Álvaro Díaz como director y Fran como ejecutivo de cuentas. Esto supone una presión significativa dado el presupuesto de 626.346€ para 2026.</w:t>
      </w:r>
    </w:p>
    <w:p>
      <w:pPr>
        <w:pStyle w:val="Heading2"/>
        <w:spacing w:before="360" w:after="180"/>
      </w:pPr>
      <w:bookmarkStart w:id="2270" w:name="section_sec3_5"/>
      <w:bookmarkEnd w:id="2270"/>
      <w:r>
        <w:rPr>
          <w:rFonts w:ascii="Arial" w:cs="Arial" w:eastAsia="Arial" w:hAnsi="Arial"/>
          <w:b/>
          <w:bCs/>
          <w:color w:val="2E75B6"/>
          <w:sz w:val="28"/>
          <w:szCs w:val="28"/>
        </w:rPr>
        <w:t xml:space="preserve">3.4 Roadmap organizativo 2026</w:t>
      </w:r>
    </w:p>
    <w:p>
      <w:pPr>
        <w:spacing w:before="80" w:after="120"/>
        <w:jc w:val="both"/>
      </w:pPr>
      <w:r>
        <w:rPr>
          <w:rFonts w:ascii="Arial" w:cs="Arial" w:eastAsia="Arial" w:hAnsi="Arial"/>
          <w:sz w:val="22"/>
          <w:szCs w:val="22"/>
        </w:rPr>
        <w:t xml:space="preserve">El principal cambio estructural previsto para 2026 es la fusión de los equipos de coordinación de TPT e IS. El objetivo es que para septiembre de 2026 un mismo coordinador pueda gestionar tanto terapias como deporte en su zona geográfica. Esto simplificará la estructura, reducirá costes de coordinación y mejorará la experiencia de las familias que utilizan ambos servicios.</w:t>
      </w:r>
    </w:p>
    <w:p>
      <w:pPr>
        <w:spacing w:before="120" w:after="120"/>
      </w:pPr>
      <w:r>
        <w:t xml:space="preserve"/>
      </w:r>
    </w:p>
    <w:p>
      <w:pPr>
        <w:spacing w:before="80" w:after="120"/>
        <w:jc w:val="both"/>
      </w:pPr>
      <w:r>
        <w:rPr>
          <w:rFonts w:ascii="Arial" w:cs="Arial" w:eastAsia="Arial" w:hAnsi="Arial"/>
          <w:sz w:val="22"/>
          <w:szCs w:val="22"/>
        </w:rPr>
        <w:t xml:space="preserve">Adicionalmente, se está incorporando una nueva figura de captación que reporta tanto a Servicios como a Marketing, con funciones de gestión de relaciones con stakeholders, llamadas comerciales y cierre de inscripciones de familias.</w:t>
      </w:r>
    </w:p>
    <w:p>
      <w:pPr>
        <w:pStyle w:val="Heading2"/>
        <w:spacing w:before="360" w:after="180"/>
      </w:pPr>
      <w:bookmarkStart w:id="2114" w:name="section_sec3_6"/>
      <w:bookmarkEnd w:id="2114"/>
      <w:r>
        <w:rPr>
          <w:rFonts w:ascii="Arial" w:cs="Arial" w:eastAsia="Arial" w:hAnsi="Arial"/>
          <w:b/>
          <w:bCs/>
          <w:color w:val="2E75B6"/>
          <w:sz w:val="28"/>
          <w:szCs w:val="28"/>
        </w:rPr>
        <w:t xml:space="preserve">3.5 Escala total del equipo</w:t>
      </w:r>
    </w:p>
    <w:p>
      <w:pPr>
        <w:spacing w:before="80" w:after="120"/>
        <w:jc w:val="both"/>
      </w:pPr>
      <w:r>
        <w:rPr>
          <w:rFonts w:ascii="Arial" w:cs="Arial" w:eastAsia="Arial" w:hAnsi="Arial"/>
          <w:sz w:val="22"/>
          <w:szCs w:val="22"/>
        </w:rPr>
        <w:t xml:space="preserve">Fundación Pegasus cuenta actualmente con entre 52 y 54 personas en plantilla. Todos los contratos son indefinidos, en coherencia con el valor de la organización de apostar por la estabilidad laboral como garantía de un servicio digno y de calidad.</w:t>
      </w:r>
    </w:p>
    <w:p>
      <w:r>
        <w:br w:type="page"/>
      </w:r>
    </w:p>
    <w:p>
      <w:pPr>
        <w:pStyle w:val="Heading1"/>
        <w:pBdr>
          <w:bottom w:val="single" w:color="2E75B6" w:sz="8" w:space="4"/>
        </w:pBdr>
        <w:spacing w:before="480" w:after="240"/>
      </w:pPr>
      <w:bookmarkStart w:id="2918" w:name="chapter_ch4"/>
      <w:bookmarkEnd w:id="2918"/>
      <w:r>
        <w:rPr>
          <w:rFonts w:ascii="Arial" w:cs="Arial" w:eastAsia="Arial" w:hAnsi="Arial"/>
          <w:b/>
          <w:bCs/>
          <w:color w:val="1F3864"/>
          <w:sz w:val="36"/>
          <w:szCs w:val="36"/>
        </w:rPr>
        <w:t xml:space="preserve">4. RECONOCIMIENTOS, PRESENCIA PÚBLICA Y ALIANZAS</w:t>
      </w:r>
    </w:p>
    <w:p>
      <w:pPr>
        <w:pStyle w:val="Heading2"/>
        <w:spacing w:before="360" w:after="180"/>
      </w:pPr>
      <w:bookmarkStart w:id="1130" w:name="section_sec4_1"/>
      <w:bookmarkEnd w:id="1130"/>
      <w:r>
        <w:rPr>
          <w:rFonts w:ascii="Arial" w:cs="Arial" w:eastAsia="Arial" w:hAnsi="Arial"/>
          <w:b/>
          <w:bCs/>
          <w:color w:val="2E75B6"/>
          <w:sz w:val="28"/>
          <w:szCs w:val="28"/>
        </w:rPr>
        <w:t xml:space="preserve">4.1 Reconocimientos institucionales</w:t>
      </w:r>
    </w:p>
    <w:p>
      <w:pPr>
        <w:pStyle w:val="ListParagraph"/>
        <w:numPr>
          <w:ilvl w:val="0"/>
          <w:numId w:val="2"/>
        </w:numPr>
        <w:spacing w:before="60" w:after="60"/>
      </w:pPr>
      <w:r>
        <w:rPr>
          <w:rFonts w:ascii="Arial" w:cs="Arial" w:eastAsia="Arial" w:hAnsi="Arial"/>
          <w:b w:val="false"/>
          <w:bCs w:val="false"/>
          <w:sz w:val="22"/>
          <w:szCs w:val="22"/>
        </w:rPr>
        <w:t xml:space="preserve">Premio Innovación La Caixa a Inclusive Sport por innovación en autonomía personal y atención a la discapacidad.</w:t>
      </w:r>
    </w:p>
    <w:p>
      <w:pPr>
        <w:pStyle w:val="ListParagraph"/>
        <w:numPr>
          <w:ilvl w:val="0"/>
          <w:numId w:val="2"/>
        </w:numPr>
        <w:spacing w:before="60" w:after="60"/>
      </w:pPr>
      <w:r>
        <w:rPr>
          <w:rFonts w:ascii="Arial" w:cs="Arial" w:eastAsia="Arial" w:hAnsi="Arial"/>
          <w:b w:val="false"/>
          <w:bCs w:val="false"/>
          <w:sz w:val="22"/>
          <w:szCs w:val="22"/>
        </w:rPr>
        <w:t xml:space="preserve">Participación en la Asamblea de Madrid.</w:t>
      </w:r>
    </w:p>
    <w:p>
      <w:pPr>
        <w:pStyle w:val="ListParagraph"/>
        <w:numPr>
          <w:ilvl w:val="0"/>
          <w:numId w:val="2"/>
        </w:numPr>
        <w:spacing w:before="60" w:after="60"/>
      </w:pPr>
      <w:r>
        <w:rPr>
          <w:rFonts w:ascii="Arial" w:cs="Arial" w:eastAsia="Arial" w:hAnsi="Arial"/>
          <w:b w:val="false"/>
          <w:bCs w:val="false"/>
          <w:sz w:val="22"/>
          <w:szCs w:val="22"/>
        </w:rPr>
        <w:t xml:space="preserve">Presencia en MasterChef.</w:t>
      </w:r>
    </w:p>
    <w:p>
      <w:pPr>
        <w:pStyle w:val="ListParagraph"/>
        <w:numPr>
          <w:ilvl w:val="0"/>
          <w:numId w:val="2"/>
        </w:numPr>
        <w:spacing w:before="60" w:after="60"/>
      </w:pPr>
      <w:r>
        <w:rPr>
          <w:rFonts w:ascii="Arial" w:cs="Arial" w:eastAsia="Arial" w:hAnsi="Arial"/>
          <w:b w:val="false"/>
          <w:bCs w:val="false"/>
          <w:sz w:val="22"/>
          <w:szCs w:val="22"/>
        </w:rPr>
        <w:t xml:space="preserve">Entrevistas en medios de comunicación de perfil alto.</w:t>
      </w:r>
    </w:p>
    <w:p>
      <w:pPr>
        <w:pStyle w:val="Heading2"/>
        <w:spacing w:before="360" w:after="180"/>
      </w:pPr>
      <w:bookmarkStart w:id="7591" w:name="section_sec4_2"/>
      <w:bookmarkEnd w:id="7591"/>
      <w:r>
        <w:rPr>
          <w:rFonts w:ascii="Arial" w:cs="Arial" w:eastAsia="Arial" w:hAnsi="Arial"/>
          <w:b/>
          <w:bCs/>
          <w:color w:val="2E75B6"/>
          <w:sz w:val="28"/>
          <w:szCs w:val="28"/>
        </w:rPr>
        <w:t xml:space="preserve">4.2 La figura pública de David Rodríguez</w:t>
      </w:r>
    </w:p>
    <w:p>
      <w:pPr>
        <w:spacing w:before="80" w:after="120"/>
        <w:jc w:val="both"/>
      </w:pPr>
      <w:r>
        <w:rPr>
          <w:rFonts w:ascii="Arial" w:cs="Arial" w:eastAsia="Arial" w:hAnsi="Arial"/>
          <w:sz w:val="22"/>
          <w:szCs w:val="22"/>
        </w:rPr>
        <w:t xml:space="preserve">David Rodríguez es conferenciante profesional. Cobra 7.000€ por conferencia, y todo el importe va íntegramente a Fundación Pegasus. Ha actuado en empresas de primer nivel: Santander, PepsiCo, Sprinter, LATAM, Cepsa, Leroy Merlin, Endesa, Iberdrola, entre otras.</w:t>
      </w:r>
    </w:p>
    <w:p>
      <w:pPr>
        <w:spacing w:before="120" w:after="120"/>
      </w:pPr>
      <w:r>
        <w:t xml:space="preserve"/>
      </w:r>
    </w:p>
    <w:p>
      <w:pPr>
        <w:spacing w:before="80" w:after="120"/>
        <w:jc w:val="both"/>
      </w:pPr>
      <w:r>
        <w:rPr>
          <w:rFonts w:ascii="Arial" w:cs="Arial" w:eastAsia="Arial" w:hAnsi="Arial"/>
          <w:sz w:val="22"/>
          <w:szCs w:val="22"/>
        </w:rPr>
        <w:t xml:space="preserve">David tiene publicado el libro 'Lo mío no es normal, pero lo tuyo tampoco', que es también el eslogan de la fundación. La cuenta de Instagram @lomiononesnormal acumula 60.000 seguidores, frente a los 20.000 de la cuenta institucional @fundacionpegasus.</w:t>
      </w:r>
    </w:p>
    <w:p>
      <w:pPr>
        <w:pStyle w:val="Heading2"/>
        <w:spacing w:before="360" w:after="180"/>
      </w:pPr>
      <w:bookmarkStart w:id="3168" w:name="section_sec4_3"/>
      <w:bookmarkEnd w:id="3168"/>
      <w:r>
        <w:rPr>
          <w:rFonts w:ascii="Arial" w:cs="Arial" w:eastAsia="Arial" w:hAnsi="Arial"/>
          <w:b/>
          <w:bCs/>
          <w:color w:val="2E75B6"/>
          <w:sz w:val="28"/>
          <w:szCs w:val="28"/>
        </w:rPr>
        <w:t xml:space="preserve">4.3 Alianzas estratégicas</w:t>
      </w:r>
    </w:p>
    <w:p>
      <w:pPr>
        <w:pStyle w:val="ListParagraph"/>
        <w:numPr>
          <w:ilvl w:val="0"/>
          <w:numId w:val="2"/>
        </w:numPr>
        <w:spacing w:before="60" w:after="60"/>
      </w:pPr>
      <w:r>
        <w:rPr>
          <w:rFonts w:ascii="Arial" w:cs="Arial" w:eastAsia="Arial" w:hAnsi="Arial"/>
          <w:b w:val="false"/>
          <w:bCs w:val="false"/>
          <w:sz w:val="22"/>
          <w:szCs w:val="22"/>
        </w:rPr>
        <w:t xml:space="preserve">Federación Madrileña de Municipios (FMM): partner institucional principal para los servicios en municipios rurales de la Comunidad de Madrid.</w:t>
      </w:r>
    </w:p>
    <w:p>
      <w:pPr>
        <w:pStyle w:val="ListParagraph"/>
        <w:numPr>
          <w:ilvl w:val="0"/>
          <w:numId w:val="2"/>
        </w:numPr>
        <w:spacing w:before="60" w:after="60"/>
      </w:pPr>
      <w:r>
        <w:rPr>
          <w:rFonts w:ascii="Arial" w:cs="Arial" w:eastAsia="Arial" w:hAnsi="Arial"/>
          <w:b w:val="false"/>
          <w:bCs w:val="false"/>
          <w:sz w:val="22"/>
          <w:szCs w:val="22"/>
        </w:rPr>
        <w:t xml:space="preserve">Comunidad de Madrid: cliente institucional directo para programas de atención a familias.</w:t>
      </w:r>
    </w:p>
    <w:p>
      <w:pPr>
        <w:pStyle w:val="ListParagraph"/>
        <w:numPr>
          <w:ilvl w:val="0"/>
          <w:numId w:val="2"/>
        </w:numPr>
        <w:spacing w:before="60" w:after="60"/>
      </w:pPr>
      <w:r>
        <w:rPr>
          <w:rFonts w:ascii="Arial" w:cs="Arial" w:eastAsia="Arial" w:hAnsi="Arial"/>
          <w:b w:val="false"/>
          <w:bCs w:val="false"/>
          <w:sz w:val="22"/>
          <w:szCs w:val="22"/>
        </w:rPr>
        <w:t xml:space="preserve">Black Bull: aliado en restauración para el proyecto Únete al Flow.</w:t>
      </w:r>
    </w:p>
    <w:p>
      <w:pPr>
        <w:pStyle w:val="ListParagraph"/>
        <w:numPr>
          <w:ilvl w:val="0"/>
          <w:numId w:val="2"/>
        </w:numPr>
        <w:spacing w:before="60" w:after="60"/>
      </w:pPr>
      <w:r>
        <w:rPr>
          <w:rFonts w:ascii="Arial" w:cs="Arial" w:eastAsia="Arial" w:hAnsi="Arial"/>
          <w:b w:val="false"/>
          <w:bCs w:val="false"/>
          <w:sz w:val="22"/>
          <w:szCs w:val="22"/>
        </w:rPr>
        <w:t xml:space="preserve">Ayuntamiento de Arganda del Rey: municipio de origen de David y socio histórico.</w:t>
      </w:r>
    </w:p>
    <w:p>
      <w:pPr>
        <w:pStyle w:val="ListParagraph"/>
        <w:numPr>
          <w:ilvl w:val="0"/>
          <w:numId w:val="2"/>
        </w:numPr>
        <w:spacing w:before="60" w:after="60"/>
      </w:pPr>
      <w:r>
        <w:rPr>
          <w:rFonts w:ascii="Arial" w:cs="Arial" w:eastAsia="Arial" w:hAnsi="Arial"/>
          <w:b w:val="false"/>
          <w:bCs w:val="false"/>
          <w:sz w:val="22"/>
          <w:szCs w:val="22"/>
        </w:rPr>
        <w:t xml:space="preserve">Múltiples ayuntamientos de la Comunidad de Madrid: Leganés, Valdemoro, Móstoles, Rivas-Vaciamadrid, Torrejón de Ardoz, San Agustín de Guadalix, Tres Cantos, Paracuellos del Jarama, Navalcarnero, entre otros.</w:t>
      </w:r>
    </w:p>
    <w:p>
      <w:pPr>
        <w:pStyle w:val="ListParagraph"/>
        <w:numPr>
          <w:ilvl w:val="0"/>
          <w:numId w:val="2"/>
        </w:numPr>
        <w:spacing w:before="60" w:after="60"/>
      </w:pPr>
      <w:r>
        <w:rPr>
          <w:rFonts w:ascii="Arial" w:cs="Arial" w:eastAsia="Arial" w:hAnsi="Arial"/>
          <w:b w:val="false"/>
          <w:bCs w:val="false"/>
          <w:sz w:val="22"/>
          <w:szCs w:val="22"/>
        </w:rPr>
        <w:t xml:space="preserve">Sportrade (Cuatro Caminos): sede de algunas actividades de IS en Madrid capital.</w:t>
      </w:r>
    </w:p>
    <w:p>
      <w:r>
        <w:br w:type="page"/>
      </w:r>
    </w:p>
    <w:p>
      <w:pPr>
        <w:spacing w:before="480" w:after="120"/>
        <w:jc w:val="center"/>
      </w:pPr>
      <w:r>
        <w:rPr>
          <w:rFonts w:ascii="Arial" w:cs="Arial" w:eastAsia="Arial" w:hAnsi="Arial"/>
          <w:b/>
          <w:bCs/>
          <w:color w:val="2E75B6"/>
          <w:sz w:val="28"/>
          <w:szCs w:val="28"/>
          <w:caps/>
        </w:rPr>
        <w:t xml:space="preserve">PARTE II — QUÉ HACEMOS</w:t>
      </w:r>
    </w:p>
    <w:p>
      <w:pPr>
        <w:pBdr>
          <w:bottom w:val="single" w:color="2E75B6" w:sz="6" w:space="4"/>
        </w:pBdr>
        <w:spacing w:before="0" w:after="240"/>
      </w:pPr>
      <w:r>
        <w:rPr/>
        <w:t/>
      </w:r>
    </w:p>
    <w:p>
      <w:pPr>
        <w:spacing w:before="480" w:after="120"/>
        <w:jc w:val="center"/>
      </w:pPr>
      <w:r>
        <w:rPr>
          <w:rFonts w:ascii="Arial" w:cs="Arial" w:eastAsia="Arial" w:hAnsi="Arial"/>
          <w:b/>
          <w:bCs/>
          <w:color w:val="2E75B6"/>
          <w:sz w:val="28"/>
          <w:szCs w:val="28"/>
          <w:caps/>
        </w:rPr>
        <w:t xml:space="preserve">PARTE II — QUÉ HACEMOS</w:t>
      </w:r>
    </w:p>
    <w:p>
      <w:pPr>
        <w:pBdr>
          <w:bottom w:val="single" w:color="2E75B6" w:sz="6" w:space="4"/>
        </w:pBdr>
        <w:spacing w:before="0" w:after="240"/>
      </w:pPr>
      <w:r>
        <w:rPr/>
        <w:t/>
      </w:r>
    </w:p>
    <w:p>
      <w:pPr>
        <w:pStyle w:val="Heading1"/>
        <w:pBdr>
          <w:bottom w:val="single" w:color="2E75B6" w:sz="8" w:space="4"/>
        </w:pBdr>
        <w:spacing w:before="480" w:after="240"/>
      </w:pPr>
      <w:bookmarkStart w:id="4302" w:name="chapter_ch5"/>
      <w:bookmarkEnd w:id="4302"/>
      <w:r>
        <w:rPr>
          <w:rFonts w:ascii="Arial" w:cs="Arial" w:eastAsia="Arial" w:hAnsi="Arial"/>
          <w:b/>
          <w:bCs/>
          <w:color w:val="1F3864"/>
          <w:sz w:val="36"/>
          <w:szCs w:val="36"/>
        </w:rPr>
        <w:t xml:space="preserve">5. TERAPIA PARA TODOS (TPT)</w:t>
      </w:r>
    </w:p>
    <w:p>
      <w:pPr>
        <w:pStyle w:val="Heading2"/>
        <w:spacing w:before="360" w:after="180"/>
      </w:pPr>
      <w:bookmarkStart w:id="9647" w:name="section_sec5_1"/>
      <w:bookmarkEnd w:id="9647"/>
      <w:r>
        <w:rPr>
          <w:rFonts w:ascii="Arial" w:cs="Arial" w:eastAsia="Arial" w:hAnsi="Arial"/>
          <w:b/>
          <w:bCs/>
          <w:color w:val="2E75B6"/>
          <w:sz w:val="28"/>
          <w:szCs w:val="28"/>
        </w:rPr>
        <w:t xml:space="preserve">5.1 Origen y razón de ser</w:t>
      </w:r>
    </w:p>
    <w:p>
      <w:pPr>
        <w:spacing w:before="80" w:after="120"/>
        <w:jc w:val="both"/>
      </w:pPr>
      <w:r>
        <w:rPr>
          <w:rFonts w:ascii="Arial" w:cs="Arial" w:eastAsia="Arial" w:hAnsi="Arial"/>
          <w:sz w:val="22"/>
          <w:szCs w:val="22"/>
        </w:rPr>
        <w:t xml:space="preserve">Terapia Para Todos nace de la experiencia de David Rodríguez como niño que recibía terapias de fisioterapia que no iban a cambiar su condición física, pero que sí le hacían daño emocional al transmitirle el mensaje de que había algo en él que necesitaba ser 'arreglado'. Al mismo tiempo, David observó en su entorno familiar y social que había familias que no podían permitirse las terapias del mercado, con precios de 60-70€ por sesión.</w:t>
      </w:r>
    </w:p>
    <w:p>
      <w:pPr>
        <w:spacing w:before="120" w:after="120"/>
      </w:pPr>
      <w:r>
        <w:t xml:space="preserve"/>
      </w:r>
    </w:p>
    <w:p>
      <w:pPr>
        <w:spacing w:before="80" w:after="120"/>
        <w:jc w:val="both"/>
      </w:pPr>
      <w:r>
        <w:rPr>
          <w:rFonts w:ascii="Arial" w:cs="Arial" w:eastAsia="Arial" w:hAnsi="Arial"/>
          <w:sz w:val="22"/>
          <w:szCs w:val="22"/>
        </w:rPr>
        <w:t xml:space="preserve">TPT nace para resolver ambos problemas simultáneamente: hacer las terapias accesibles económicamente, y cambiar la filosofía de intervención desde la normalización hacia el bienestar emocional.</w:t>
      </w:r>
    </w:p>
    <w:p>
      <w:pPr>
        <w:pStyle w:val="Heading2"/>
        <w:spacing w:before="360" w:after="180"/>
      </w:pPr>
      <w:bookmarkStart w:id="6158" w:name="section_sec5_2"/>
      <w:bookmarkEnd w:id="6158"/>
      <w:r>
        <w:rPr>
          <w:rFonts w:ascii="Arial" w:cs="Arial" w:eastAsia="Arial" w:hAnsi="Arial"/>
          <w:b/>
          <w:bCs/>
          <w:color w:val="2E75B6"/>
          <w:sz w:val="28"/>
          <w:szCs w:val="28"/>
        </w:rPr>
        <w:t xml:space="preserve">5.2 Propuesta de valor diferencial</w:t>
      </w:r>
    </w:p>
    <w:p>
      <w:pPr>
        <w:spacing w:before="80" w:after="120"/>
        <w:jc w:val="both"/>
      </w:pPr>
      <w:r>
        <w:rPr>
          <w:rFonts w:ascii="Arial" w:cs="Arial" w:eastAsia="Arial" w:hAnsi="Arial"/>
          <w:sz w:val="22"/>
          <w:szCs w:val="22"/>
        </w:rPr>
        <w:t xml:space="preserve">TPT tiene dos valores diferenciales claros y complementarios:</w:t>
      </w:r>
    </w:p>
    <w:p>
      <w:pPr>
        <w:spacing w:before="120" w:after="120"/>
      </w:pPr>
      <w:r>
        <w:t xml:space="preserve"/>
      </w:r>
    </w:p>
    <w:p>
      <w:pPr>
        <w:pStyle w:val="Heading3"/>
        <w:spacing w:before="240" w:after="120"/>
      </w:pPr>
      <w:r>
        <w:rPr>
          <w:rFonts w:ascii="Arial" w:cs="Arial" w:eastAsia="Arial" w:hAnsi="Arial"/>
          <w:b/>
          <w:bCs/>
          <w:color w:val="333333"/>
          <w:sz w:val="24"/>
          <w:szCs w:val="24"/>
        </w:rPr>
        <w:t xml:space="preserve">Diferencial 1: Precio</w:t>
      </w:r>
    </w:p>
    <w:p>
      <w:pPr>
        <w:spacing w:before="80" w:after="120"/>
        <w:jc w:val="both"/>
      </w:pPr>
      <w:r>
        <w:rPr>
          <w:rFonts w:ascii="Arial" w:cs="Arial" w:eastAsia="Arial" w:hAnsi="Arial"/>
          <w:sz w:val="22"/>
          <w:szCs w:val="22"/>
        </w:rPr>
        <w:t xml:space="preserve">Las sesiones de TPT cuestan entre 17,95€ (Terapia Integral en municipios FMM) y 25,95€ (TO, Psicología, Logopedia) por sesión. Esto supone un ahorro del 55-60% respecto a los precios de mercado (60-70€). Este precio es posible gracias al modelo de convenios de cesión de espacios con ayuntamientos, que elimina el coste de alquiler.</w:t>
      </w:r>
    </w:p>
    <w:p>
      <w:pPr>
        <w:spacing w:before="120" w:after="120"/>
      </w:pPr>
      <w:r>
        <w:t xml:space="preserve"/>
      </w:r>
    </w:p>
    <w:p>
      <w:pPr>
        <w:spacing w:before="80" w:after="120"/>
        <w:jc w:val="both"/>
      </w:pPr>
      <w:r>
        <w:rPr>
          <w:rFonts w:ascii="Arial" w:cs="Arial" w:eastAsia="Arial" w:hAnsi="Arial"/>
          <w:sz w:val="22"/>
          <w:szCs w:val="22"/>
        </w:rPr>
        <w:t xml:space="preserve">Adicionalmente, la combinación de los precios de TPT con la Beca de Necesidades de Apoyo Educativo permite a algunas familias acceder a un año completo de terapia a un coste casi totalmente subvencionado. Pegasus ayuda a las familias a tramitar esta beca cuando no la conocen.</w:t>
      </w:r>
    </w:p>
    <w:p>
      <w:pPr>
        <w:pStyle w:val="Heading3"/>
        <w:spacing w:before="240" w:after="120"/>
      </w:pPr>
      <w:r>
        <w:rPr>
          <w:rFonts w:ascii="Arial" w:cs="Arial" w:eastAsia="Arial" w:hAnsi="Arial"/>
          <w:b/>
          <w:bCs/>
          <w:color w:val="333333"/>
          <w:sz w:val="24"/>
          <w:szCs w:val="24"/>
        </w:rPr>
        <w:t xml:space="preserve">Diferencial 2: Metodología</w:t>
      </w:r>
    </w:p>
    <w:p>
      <w:pPr>
        <w:spacing w:before="80" w:after="120"/>
        <w:jc w:val="both"/>
      </w:pPr>
      <w:r>
        <w:rPr>
          <w:rFonts w:ascii="Arial" w:cs="Arial" w:eastAsia="Arial" w:hAnsi="Arial"/>
          <w:sz w:val="22"/>
          <w:szCs w:val="22"/>
        </w:rPr>
        <w:t xml:space="preserve">TPT no busca normalizar a la persona. El objetivo es la aceptación y adaptación de su situación, y la consiguiente salud emocional. Se utilizan la inteligencia emocional, el juego y el humor como herramientas terapéuticas. Los terapeutas trabajan tanto con la persona como con su familia, entendiendo que el bienestar de la persona con discapacidad es inseparable del bienestar de su entorno familiar.</w:t>
      </w:r>
    </w:p>
    <w:p>
      <w:pPr>
        <w:spacing w:before="120" w:after="120"/>
      </w:pPr>
      <w:r>
        <w:t xml:space="preserve"/>
      </w:r>
    </w:p>
    <w:p>
      <w:pPr>
        <w:jc w:val="left"/>
      </w:pPr>
      <w:r>
        <w:rPr>
          <w:rFonts w:ascii="Arial" w:cs="Arial" w:eastAsia="Arial" w:hAnsi="Arial"/>
          <w:i/>
          <w:iCs/>
          <w:color w:val="1A1A2E"/>
          <w:sz w:val="22"/>
          <w:szCs w:val="22"/>
        </w:rPr>
        <w:t xml:space="preserve">"Quienes llegan a Fundación Pegasus son personas, no coches yendo al taller."</w:t>
      </w:r>
    </w:p>
    <w:p>
      <w:pPr>
        <w:pStyle w:val="Heading2"/>
        <w:spacing w:before="360" w:after="180"/>
      </w:pPr>
      <w:bookmarkStart w:id="9782" w:name="section_sec5_3"/>
      <w:bookmarkEnd w:id="9782"/>
      <w:r>
        <w:rPr>
          <w:rFonts w:ascii="Arial" w:cs="Arial" w:eastAsia="Arial" w:hAnsi="Arial"/>
          <w:b/>
          <w:bCs/>
          <w:color w:val="2E75B6"/>
          <w:sz w:val="28"/>
          <w:szCs w:val="28"/>
        </w:rPr>
        <w:t xml:space="preserve">5.3 Servicios disponibles</w:t>
      </w:r>
    </w:p>
    <w:p>
      <w:pPr>
        <w:spacing w:before="120" w:after="120"/>
      </w:pPr>
      <w:r>
        <w:t xml:space="preserve"/>
      </w:r>
    </w:p>
    <w:p>
      <w:r>
        <w:rPr>
          <w:rFonts w:ascii="Arial" w:cs="Arial" w:eastAsia="Arial" w:hAnsi="Arial"/>
          <w:b/>
          <w:bCs/>
          <w:color w:val="FFFFFF"/>
          <w:sz w:val="20"/>
          <w:szCs w:val="20"/>
        </w:rPr>
        <w:t xml:space="preserve">Servicio</w:t>
      </w:r>
    </w:p>
    <w:p>
      <w:r>
        <w:rPr>
          <w:rFonts w:ascii="Arial" w:cs="Arial" w:eastAsia="Arial" w:hAnsi="Arial"/>
          <w:b/>
          <w:bCs/>
          <w:color w:val="FFFFFF"/>
          <w:sz w:val="20"/>
          <w:szCs w:val="20"/>
        </w:rPr>
        <w:t xml:space="preserve">Duración</w:t>
      </w:r>
    </w:p>
    <w:p>
      <w:r>
        <w:rPr>
          <w:rFonts w:ascii="Arial" w:cs="Arial" w:eastAsia="Arial" w:hAnsi="Arial"/>
          <w:b/>
          <w:bCs/>
          <w:color w:val="FFFFFF"/>
          <w:sz w:val="20"/>
          <w:szCs w:val="20"/>
        </w:rPr>
        <w:t xml:space="preserve">PVP sesión</w:t>
      </w:r>
    </w:p>
    <w:p>
      <w:r>
        <w:rPr>
          <w:rFonts w:ascii="Arial" w:cs="Arial" w:eastAsia="Arial" w:hAnsi="Arial"/>
          <w:b/>
          <w:bCs/>
          <w:color w:val="FFFFFF"/>
          <w:sz w:val="20"/>
          <w:szCs w:val="20"/>
        </w:rPr>
        <w:t xml:space="preserve">Plazas disponibles</w:t>
      </w:r>
    </w:p>
    <w:p>
      <w:r>
        <w:rPr>
          <w:rFonts w:ascii="Arial" w:cs="Arial" w:eastAsia="Arial" w:hAnsi="Arial"/>
          <w:b w:val="false"/>
          <w:bCs w:val="false"/>
          <w:color w:val="1A1A1A"/>
          <w:sz w:val="20"/>
          <w:szCs w:val="20"/>
        </w:rPr>
        <w:t xml:space="preserve">Fisioterapia</w:t>
      </w:r>
    </w:p>
    <w:p>
      <w:r>
        <w:rPr>
          <w:rFonts w:ascii="Arial" w:cs="Arial" w:eastAsia="Arial" w:hAnsi="Arial"/>
          <w:b w:val="false"/>
          <w:bCs w:val="false"/>
          <w:color w:val="1A1A1A"/>
          <w:sz w:val="20"/>
          <w:szCs w:val="20"/>
        </w:rPr>
        <w:t xml:space="preserve">30 min</w:t>
      </w:r>
    </w:p>
    <w:p>
      <w:r>
        <w:rPr>
          <w:rFonts w:ascii="Arial" w:cs="Arial" w:eastAsia="Arial" w:hAnsi="Arial"/>
          <w:b w:val="false"/>
          <w:bCs w:val="false"/>
          <w:color w:val="1A1A1A"/>
          <w:sz w:val="20"/>
          <w:szCs w:val="20"/>
        </w:rPr>
        <w:t xml:space="preserve">19,95 €</w:t>
      </w:r>
    </w:p>
    <w:p>
      <w:r>
        <w:rPr>
          <w:rFonts w:ascii="Arial" w:cs="Arial" w:eastAsia="Arial" w:hAnsi="Arial"/>
          <w:b w:val="false"/>
          <w:bCs w:val="false"/>
          <w:color w:val="1A1A1A"/>
          <w:sz w:val="20"/>
          <w:szCs w:val="20"/>
        </w:rPr>
        <w:t xml:space="preserve">40</w:t>
      </w:r>
    </w:p>
    <w:p>
      <w:r>
        <w:rPr>
          <w:rFonts w:ascii="Arial" w:cs="Arial" w:eastAsia="Arial" w:hAnsi="Arial"/>
          <w:b w:val="false"/>
          <w:bCs w:val="false"/>
          <w:color w:val="1A1A1A"/>
          <w:sz w:val="20"/>
          <w:szCs w:val="20"/>
        </w:rPr>
        <w:t xml:space="preserve">Terapia Ocupacional</w:t>
      </w:r>
    </w:p>
    <w:p>
      <w:r>
        <w:rPr>
          <w:rFonts w:ascii="Arial" w:cs="Arial" w:eastAsia="Arial" w:hAnsi="Arial"/>
          <w:b w:val="false"/>
          <w:bCs w:val="false"/>
          <w:color w:val="1A1A1A"/>
          <w:sz w:val="20"/>
          <w:szCs w:val="20"/>
        </w:rPr>
        <w:t xml:space="preserve">40 min</w:t>
      </w:r>
    </w:p>
    <w:p>
      <w:r>
        <w:rPr>
          <w:rFonts w:ascii="Arial" w:cs="Arial" w:eastAsia="Arial" w:hAnsi="Arial"/>
          <w:b w:val="false"/>
          <w:bCs w:val="false"/>
          <w:color w:val="1A1A1A"/>
          <w:sz w:val="20"/>
          <w:szCs w:val="20"/>
        </w:rPr>
        <w:t xml:space="preserve">25,95 €</w:t>
      </w:r>
    </w:p>
    <w:p>
      <w:r>
        <w:rPr>
          <w:rFonts w:ascii="Arial" w:cs="Arial" w:eastAsia="Arial" w:hAnsi="Arial"/>
          <w:b w:val="false"/>
          <w:bCs w:val="false"/>
          <w:color w:val="1A1A1A"/>
          <w:sz w:val="20"/>
          <w:szCs w:val="20"/>
        </w:rPr>
        <w:t xml:space="preserve">30</w:t>
      </w:r>
    </w:p>
    <w:p>
      <w:r>
        <w:rPr>
          <w:rFonts w:ascii="Arial" w:cs="Arial" w:eastAsia="Arial" w:hAnsi="Arial"/>
          <w:b w:val="false"/>
          <w:bCs w:val="false"/>
          <w:color w:val="1A1A1A"/>
          <w:sz w:val="20"/>
          <w:szCs w:val="20"/>
        </w:rPr>
        <w:t xml:space="preserve">Psicología</w:t>
      </w:r>
    </w:p>
    <w:p>
      <w:r>
        <w:rPr>
          <w:rFonts w:ascii="Arial" w:cs="Arial" w:eastAsia="Arial" w:hAnsi="Arial"/>
          <w:b w:val="false"/>
          <w:bCs w:val="false"/>
          <w:color w:val="1A1A1A"/>
          <w:sz w:val="20"/>
          <w:szCs w:val="20"/>
        </w:rPr>
        <w:t xml:space="preserve">40 min</w:t>
      </w:r>
    </w:p>
    <w:p>
      <w:r>
        <w:rPr>
          <w:rFonts w:ascii="Arial" w:cs="Arial" w:eastAsia="Arial" w:hAnsi="Arial"/>
          <w:b w:val="false"/>
          <w:bCs w:val="false"/>
          <w:color w:val="1A1A1A"/>
          <w:sz w:val="20"/>
          <w:szCs w:val="20"/>
        </w:rPr>
        <w:t xml:space="preserve">25,95 €</w:t>
      </w:r>
    </w:p>
    <w:p>
      <w:r>
        <w:rPr>
          <w:rFonts w:ascii="Arial" w:cs="Arial" w:eastAsia="Arial" w:hAnsi="Arial"/>
          <w:b w:val="false"/>
          <w:bCs w:val="false"/>
          <w:color w:val="1A1A1A"/>
          <w:sz w:val="20"/>
          <w:szCs w:val="20"/>
        </w:rPr>
        <w:t xml:space="preserve">30</w:t>
      </w:r>
    </w:p>
    <w:p>
      <w:r>
        <w:rPr>
          <w:rFonts w:ascii="Arial" w:cs="Arial" w:eastAsia="Arial" w:hAnsi="Arial"/>
          <w:b w:val="false"/>
          <w:bCs w:val="false"/>
          <w:color w:val="1A1A1A"/>
          <w:sz w:val="20"/>
          <w:szCs w:val="20"/>
        </w:rPr>
        <w:t xml:space="preserve">Logopedia y A.L.</w:t>
      </w:r>
    </w:p>
    <w:p>
      <w:r>
        <w:rPr>
          <w:rFonts w:ascii="Arial" w:cs="Arial" w:eastAsia="Arial" w:hAnsi="Arial"/>
          <w:b w:val="false"/>
          <w:bCs w:val="false"/>
          <w:color w:val="1A1A1A"/>
          <w:sz w:val="20"/>
          <w:szCs w:val="20"/>
        </w:rPr>
        <w:t xml:space="preserve">40 min</w:t>
      </w:r>
    </w:p>
    <w:p>
      <w:r>
        <w:rPr>
          <w:rFonts w:ascii="Arial" w:cs="Arial" w:eastAsia="Arial" w:hAnsi="Arial"/>
          <w:b w:val="false"/>
          <w:bCs w:val="false"/>
          <w:color w:val="1A1A1A"/>
          <w:sz w:val="20"/>
          <w:szCs w:val="20"/>
        </w:rPr>
        <w:t xml:space="preserve">25,95 €</w:t>
      </w:r>
    </w:p>
    <w:p>
      <w:r>
        <w:rPr>
          <w:rFonts w:ascii="Arial" w:cs="Arial" w:eastAsia="Arial" w:hAnsi="Arial"/>
          <w:b w:val="false"/>
          <w:bCs w:val="false"/>
          <w:color w:val="1A1A1A"/>
          <w:sz w:val="20"/>
          <w:szCs w:val="20"/>
        </w:rPr>
        <w:t xml:space="preserve">30</w:t>
      </w:r>
    </w:p>
    <w:p>
      <w:r>
        <w:rPr>
          <w:rFonts w:ascii="Arial" w:cs="Arial" w:eastAsia="Arial" w:hAnsi="Arial"/>
          <w:b w:val="false"/>
          <w:bCs w:val="false"/>
          <w:color w:val="1A1A1A"/>
          <w:sz w:val="20"/>
          <w:szCs w:val="20"/>
        </w:rPr>
        <w:t xml:space="preserve">Pilates</w:t>
      </w:r>
    </w:p>
    <w:p>
      <w:r>
        <w:rPr>
          <w:rFonts w:ascii="Arial" w:cs="Arial" w:eastAsia="Arial" w:hAnsi="Arial"/>
          <w:b w:val="false"/>
          <w:bCs w:val="false"/>
          <w:color w:val="1A1A1A"/>
          <w:sz w:val="20"/>
          <w:szCs w:val="20"/>
        </w:rPr>
        <w:t xml:space="preserve">40 min</w:t>
      </w:r>
    </w:p>
    <w:p>
      <w:r>
        <w:rPr>
          <w:rFonts w:ascii="Arial" w:cs="Arial" w:eastAsia="Arial" w:hAnsi="Arial"/>
          <w:b w:val="false"/>
          <w:bCs w:val="false"/>
          <w:color w:val="1A1A1A"/>
          <w:sz w:val="20"/>
          <w:szCs w:val="20"/>
        </w:rPr>
        <w:t xml:space="preserve">25,95 €</w:t>
      </w:r>
    </w:p>
    <w:p>
      <w:r>
        <w:rPr>
          <w:rFonts w:ascii="Arial" w:cs="Arial" w:eastAsia="Arial" w:hAnsi="Arial"/>
          <w:b w:val="false"/>
          <w:bCs w:val="false"/>
          <w:color w:val="1A1A1A"/>
          <w:sz w:val="20"/>
          <w:szCs w:val="20"/>
        </w:rPr>
        <w:t xml:space="preserve">30</w:t>
      </w:r>
    </w:p>
    <w:p>
      <w:r>
        <w:rPr>
          <w:rFonts w:ascii="Arial" w:cs="Arial" w:eastAsia="Arial" w:hAnsi="Arial"/>
          <w:b w:val="false"/>
          <w:bCs w:val="false"/>
          <w:color w:val="1A1A1A"/>
          <w:sz w:val="20"/>
          <w:szCs w:val="20"/>
        </w:rPr>
        <w:t xml:space="preserve">Terapia Integral FMM*</w:t>
      </w:r>
    </w:p>
    <w:p>
      <w:r>
        <w:rPr>
          <w:rFonts w:ascii="Arial" w:cs="Arial" w:eastAsia="Arial" w:hAnsi="Arial"/>
          <w:b w:val="false"/>
          <w:bCs w:val="false"/>
          <w:color w:val="1A1A1A"/>
          <w:sz w:val="20"/>
          <w:szCs w:val="20"/>
        </w:rPr>
        <w:t xml:space="preserve">50 min</w:t>
      </w:r>
    </w:p>
    <w:p>
      <w:r>
        <w:rPr>
          <w:rFonts w:ascii="Arial" w:cs="Arial" w:eastAsia="Arial" w:hAnsi="Arial"/>
          <w:b w:val="false"/>
          <w:bCs w:val="false"/>
          <w:color w:val="1A1A1A"/>
          <w:sz w:val="20"/>
          <w:szCs w:val="20"/>
        </w:rPr>
        <w:t xml:space="preserve">17,95 €</w:t>
      </w:r>
    </w:p>
    <w:p>
      <w:r>
        <w:rPr>
          <w:rFonts w:ascii="Arial" w:cs="Arial" w:eastAsia="Arial" w:hAnsi="Arial"/>
          <w:b w:val="false"/>
          <w:bCs w:val="false"/>
          <w:color w:val="1A1A1A"/>
          <w:sz w:val="20"/>
          <w:szCs w:val="20"/>
        </w:rPr>
        <w:t xml:space="preserve">Variable</w:t>
      </w:r>
    </w:p>
    <w:p>
      <w:r>
        <w:rPr>
          <w:rFonts w:ascii="Arial" w:cs="Arial" w:eastAsia="Arial" w:hAnsi="Arial"/>
          <w:b w:val="false"/>
          <w:bCs w:val="false"/>
          <w:color w:val="1A1A1A"/>
          <w:sz w:val="20"/>
          <w:szCs w:val="20"/>
        </w:rPr>
        <w:t xml:space="preserve">Terapia Acuática</w:t>
      </w:r>
    </w:p>
    <w:p>
      <w:r>
        <w:rPr>
          <w:rFonts w:ascii="Arial" w:cs="Arial" w:eastAsia="Arial" w:hAnsi="Arial"/>
          <w:b w:val="false"/>
          <w:bCs w:val="false"/>
          <w:color w:val="1A1A1A"/>
          <w:sz w:val="20"/>
          <w:szCs w:val="20"/>
        </w:rPr>
        <w:t xml:space="preserve">Variable</w:t>
      </w:r>
    </w:p>
    <w:p>
      <w:r>
        <w:rPr>
          <w:rFonts w:ascii="Arial" w:cs="Arial" w:eastAsia="Arial" w:hAnsi="Arial"/>
          <w:b w:val="false"/>
          <w:bCs w:val="false"/>
          <w:color w:val="1A1A1A"/>
          <w:sz w:val="20"/>
          <w:szCs w:val="20"/>
        </w:rPr>
        <w:t xml:space="preserve">Consultar</w:t>
      </w:r>
    </w:p>
    <w:p>
      <w:r>
        <w:rPr>
          <w:rFonts w:ascii="Arial" w:cs="Arial" w:eastAsia="Arial" w:hAnsi="Arial"/>
          <w:b w:val="false"/>
          <w:bCs w:val="false"/>
          <w:color w:val="1A1A1A"/>
          <w:sz w:val="20"/>
          <w:szCs w:val="20"/>
        </w:rPr>
        <w:t xml:space="preserve">Variable</w:t>
      </w:r>
    </w:p>
    <w:p>
      <w:pPr>
        <w:spacing w:before="120" w:after="120"/>
      </w:pPr>
      <w:r>
        <w:t xml:space="preserve"/>
      </w:r>
    </w:p>
    <w:p>
      <w:pPr>
        <w:spacing w:before="80" w:after="120"/>
        <w:jc w:val="both"/>
      </w:pPr>
      <w:r>
        <w:rPr>
          <w:rFonts w:ascii="Arial" w:cs="Arial" w:eastAsia="Arial" w:hAnsi="Arial"/>
          <w:sz w:val="22"/>
          <w:szCs w:val="22"/>
        </w:rPr>
        <w:t xml:space="preserve">*La Terapia Integral ("Municipios que te cuidan") es una modalidad especial disponible en municipios rurales a través del convenio FMM. Un terapeuta ocupacional realiza la sesión presencialmente con el apoyo remoto de logopeda, psicólogo y fisioterapeuta, abordando múltiples necesidades en una sola sesión.</w:t>
      </w:r>
    </w:p>
    <w:p>
      <w:pPr>
        <w:spacing w:before="120" w:after="120"/>
      </w:pPr>
      <w:r>
        <w:t xml:space="preserve"/>
      </w:r>
    </w:p>
    <w:p>
      <w:pPr>
        <w:spacing w:before="80" w:after="120"/>
        <w:jc w:val="both"/>
      </w:pPr>
      <w:r>
        <w:rPr>
          <w:rFonts w:ascii="Arial" w:cs="Arial" w:eastAsia="Arial" w:hAnsi="Arial"/>
          <w:sz w:val="22"/>
          <w:szCs w:val="22"/>
        </w:rPr>
        <w:t xml:space="preserve">TPT también es para todas las edades y para personas con o sin discapacidad, en coherencia con la filosofía de acceso universal de Pegasus.</w:t>
      </w:r>
    </w:p>
    <w:p>
      <w:pPr>
        <w:pStyle w:val="Heading2"/>
        <w:spacing w:before="360" w:after="180"/>
      </w:pPr>
      <w:bookmarkStart w:id="2797" w:name="section_sec5_4"/>
      <w:bookmarkEnd w:id="2797"/>
      <w:r>
        <w:rPr>
          <w:rFonts w:ascii="Arial" w:cs="Arial" w:eastAsia="Arial" w:hAnsi="Arial"/>
          <w:b/>
          <w:bCs/>
          <w:color w:val="2E75B6"/>
          <w:sz w:val="28"/>
          <w:szCs w:val="28"/>
        </w:rPr>
        <w:t xml:space="preserve">5.4 El modelo de compromiso anual</w:t>
      </w:r>
    </w:p>
    <w:p>
      <w:pPr>
        <w:spacing w:before="80" w:after="120"/>
        <w:jc w:val="both"/>
      </w:pPr>
      <w:r>
        <w:rPr>
          <w:rFonts w:ascii="Arial" w:cs="Arial" w:eastAsia="Arial" w:hAnsi="Arial"/>
          <w:sz w:val="22"/>
          <w:szCs w:val="22"/>
        </w:rPr>
        <w:t xml:space="preserve">Para poder sostener los precios accesibles, TPT requiere que las familias adquieran un compromiso de permanencia de septiembre a julio (ambos meses incluidos), con una matrícula de 80€ en agosto. Esta previsibilidad de ingresos permite planificar la estructura de costes y reducir el coste unitario de cada sesión.</w:t>
      </w:r>
    </w:p>
    <w:p>
      <w:pPr>
        <w:spacing w:before="120" w:after="120"/>
      </w:pPr>
      <w:r>
        <w:t xml:space="preserve"/>
      </w:r>
    </w:p>
    <w:p>
      <w:pPr>
        <w:spacing w:before="80" w:after="120"/>
        <w:jc w:val="both"/>
      </w:pPr>
      <w:r>
        <w:rPr>
          <w:rFonts w:ascii="Arial" w:cs="Arial" w:eastAsia="Arial" w:hAnsi="Arial"/>
          <w:sz w:val="22"/>
          <w:szCs w:val="22"/>
        </w:rPr>
        <w:t xml:space="preserve">Este modelo genera ocasionalmente fricción con algunas familias, que cuestionan por qué deben pagar julio si se van de vacaciones o agosto si no están recibiendo servicio. La organización reconoce esta fricción pero la considera necesaria para la sostenibilidad del modelo. Los datos sugieren que la queja es marginal (aproximadamente 6 de cada 1.000 familias), aunque la percepción interna puede estar distorsionada por el peso de las voces críticas.</w:t>
      </w:r>
    </w:p>
    <w:p>
      <w:pPr>
        <w:spacing w:before="120" w:after="120"/>
      </w:pPr>
      <w:r>
        <w:t xml:space="preserve"/>
      </w:r>
    </w:p>
    <w:p>
      <w:pPr>
        <w:spacing w:before="80" w:after="120"/>
        <w:jc w:val="both"/>
      </w:pPr>
      <w:r>
        <w:rPr>
          <w:rFonts w:ascii="Arial" w:cs="Arial" w:eastAsia="Arial" w:hAnsi="Arial"/>
          <w:sz w:val="22"/>
          <w:szCs w:val="22"/>
        </w:rPr>
        <w:t xml:space="preserve">NOTA: Pendiente realizar un análisis exhaustivo de elasticidad de precio y de impacto de la fricción del modelo de compromiso anual en la captación de nuevas familias.</w:t>
      </w:r>
    </w:p>
    <w:p>
      <w:pPr>
        <w:pStyle w:val="Heading2"/>
        <w:spacing w:before="360" w:after="180"/>
      </w:pPr>
      <w:bookmarkStart w:id="2189" w:name="section_sec5_5"/>
      <w:bookmarkEnd w:id="2189"/>
      <w:r>
        <w:rPr>
          <w:rFonts w:ascii="Arial" w:cs="Arial" w:eastAsia="Arial" w:hAnsi="Arial"/>
          <w:b/>
          <w:bCs/>
          <w:color w:val="2E75B6"/>
          <w:sz w:val="28"/>
          <w:szCs w:val="28"/>
        </w:rPr>
        <w:t xml:space="preserve">5.5 Ubicaciones actuales</w:t>
      </w:r>
    </w:p>
    <w:p>
      <w:pPr>
        <w:pStyle w:val="ListParagraph"/>
        <w:numPr>
          <w:ilvl w:val="0"/>
          <w:numId w:val="2"/>
        </w:numPr>
        <w:spacing w:before="60" w:after="60"/>
      </w:pPr>
      <w:r>
        <w:rPr>
          <w:rFonts w:ascii="Arial" w:cs="Arial" w:eastAsia="Arial" w:hAnsi="Arial"/>
          <w:b w:val="false"/>
          <w:bCs w:val="false"/>
          <w:sz w:val="22"/>
          <w:szCs w:val="22"/>
        </w:rPr>
        <w:t xml:space="preserve">Leganés</w:t>
      </w:r>
    </w:p>
    <w:p>
      <w:pPr>
        <w:pStyle w:val="ListParagraph"/>
        <w:numPr>
          <w:ilvl w:val="0"/>
          <w:numId w:val="2"/>
        </w:numPr>
        <w:spacing w:before="60" w:after="60"/>
      </w:pPr>
      <w:r>
        <w:rPr>
          <w:rFonts w:ascii="Arial" w:cs="Arial" w:eastAsia="Arial" w:hAnsi="Arial"/>
          <w:b w:val="false"/>
          <w:bCs w:val="false"/>
          <w:sz w:val="22"/>
          <w:szCs w:val="22"/>
        </w:rPr>
        <w:t xml:space="preserve">Valdemoro</w:t>
      </w:r>
    </w:p>
    <w:p>
      <w:pPr>
        <w:pStyle w:val="ListParagraph"/>
        <w:numPr>
          <w:ilvl w:val="0"/>
          <w:numId w:val="2"/>
        </w:numPr>
        <w:spacing w:before="60" w:after="60"/>
      </w:pPr>
      <w:r>
        <w:rPr>
          <w:rFonts w:ascii="Arial" w:cs="Arial" w:eastAsia="Arial" w:hAnsi="Arial"/>
          <w:b w:val="false"/>
          <w:bCs w:val="false"/>
          <w:sz w:val="22"/>
          <w:szCs w:val="22"/>
        </w:rPr>
        <w:t xml:space="preserve">Móstoles</w:t>
      </w:r>
    </w:p>
    <w:p>
      <w:pPr>
        <w:pStyle w:val="ListParagraph"/>
        <w:numPr>
          <w:ilvl w:val="0"/>
          <w:numId w:val="2"/>
        </w:numPr>
        <w:spacing w:before="60" w:after="60"/>
      </w:pPr>
      <w:r>
        <w:rPr>
          <w:rFonts w:ascii="Arial" w:cs="Arial" w:eastAsia="Arial" w:hAnsi="Arial"/>
          <w:b w:val="false"/>
          <w:bCs w:val="false"/>
          <w:sz w:val="22"/>
          <w:szCs w:val="22"/>
        </w:rPr>
        <w:t xml:space="preserve">Rivas-Vaciamadrid</w:t>
      </w:r>
    </w:p>
    <w:p>
      <w:pPr>
        <w:pStyle w:val="ListParagraph"/>
        <w:numPr>
          <w:ilvl w:val="0"/>
          <w:numId w:val="2"/>
        </w:numPr>
        <w:spacing w:before="60" w:after="60"/>
      </w:pPr>
      <w:r>
        <w:rPr>
          <w:rFonts w:ascii="Arial" w:cs="Arial" w:eastAsia="Arial" w:hAnsi="Arial"/>
          <w:b w:val="false"/>
          <w:bCs w:val="false"/>
          <w:sz w:val="22"/>
          <w:szCs w:val="22"/>
        </w:rPr>
        <w:t xml:space="preserve">Torrejón de Ardoz</w:t>
      </w:r>
    </w:p>
    <w:p>
      <w:pPr>
        <w:pStyle w:val="ListParagraph"/>
        <w:numPr>
          <w:ilvl w:val="0"/>
          <w:numId w:val="2"/>
        </w:numPr>
        <w:spacing w:before="60" w:after="60"/>
      </w:pPr>
      <w:r>
        <w:rPr>
          <w:rFonts w:ascii="Arial" w:cs="Arial" w:eastAsia="Arial" w:hAnsi="Arial"/>
          <w:b w:val="false"/>
          <w:bCs w:val="false"/>
          <w:sz w:val="22"/>
          <w:szCs w:val="22"/>
        </w:rPr>
        <w:t xml:space="preserve">Arganda del Rey</w:t>
      </w:r>
    </w:p>
    <w:p>
      <w:pPr>
        <w:pStyle w:val="ListParagraph"/>
        <w:numPr>
          <w:ilvl w:val="0"/>
          <w:numId w:val="2"/>
        </w:numPr>
        <w:spacing w:before="60" w:after="60"/>
      </w:pPr>
      <w:r>
        <w:rPr>
          <w:rFonts w:ascii="Arial" w:cs="Arial" w:eastAsia="Arial" w:hAnsi="Arial"/>
          <w:b w:val="false"/>
          <w:bCs w:val="false"/>
          <w:sz w:val="22"/>
          <w:szCs w:val="22"/>
        </w:rPr>
        <w:t xml:space="preserve">San Agustín de Guadalix</w:t>
      </w:r>
    </w:p>
    <w:p>
      <w:pPr>
        <w:pStyle w:val="ListParagraph"/>
        <w:numPr>
          <w:ilvl w:val="0"/>
          <w:numId w:val="2"/>
        </w:numPr>
        <w:spacing w:before="60" w:after="60"/>
      </w:pPr>
      <w:r>
        <w:rPr>
          <w:rFonts w:ascii="Arial" w:cs="Arial" w:eastAsia="Arial" w:hAnsi="Arial"/>
          <w:b w:val="false"/>
          <w:bCs w:val="false"/>
          <w:sz w:val="22"/>
          <w:szCs w:val="22"/>
        </w:rPr>
        <w:t xml:space="preserve">Municipios FMM: Villamanrique de Tajo, Griñón, Colmenar del Arroyo</w:t>
      </w:r>
    </w:p>
    <w:p>
      <w:pPr>
        <w:pStyle w:val="ListParagraph"/>
        <w:numPr>
          <w:ilvl w:val="0"/>
          <w:numId w:val="2"/>
        </w:numPr>
        <w:spacing w:before="60" w:after="60"/>
      </w:pPr>
      <w:r>
        <w:rPr>
          <w:rFonts w:ascii="Arial" w:cs="Arial" w:eastAsia="Arial" w:hAnsi="Arial"/>
          <w:b w:val="false"/>
          <w:bCs w:val="false"/>
          <w:sz w:val="22"/>
          <w:szCs w:val="22"/>
        </w:rPr>
        <w:t xml:space="preserve">Online (Psicología)</w:t>
      </w:r>
    </w:p>
    <w:p>
      <w:pPr>
        <w:pStyle w:val="Heading2"/>
        <w:spacing w:before="360" w:after="180"/>
      </w:pPr>
      <w:bookmarkStart w:id="3148" w:name="section_sec5_8"/>
      <w:bookmarkEnd w:id="3148"/>
      <w:r>
        <w:rPr>
          <w:rFonts w:ascii="Arial" w:cs="Arial" w:eastAsia="Arial" w:hAnsi="Arial"/>
          <w:b/>
          <w:bCs/>
          <w:color w:val="2E75B6"/>
          <w:sz w:val="28"/>
          <w:szCs w:val="28"/>
        </w:rPr>
        <w:t xml:space="preserve">5.6 Cifras de impacto</w:t>
      </w:r>
    </w:p>
    <w:p>
      <w:pPr>
        <w:pStyle w:val="ListParagraph"/>
        <w:numPr>
          <w:ilvl w:val="0"/>
          <w:numId w:val="2"/>
        </w:numPr>
        <w:spacing w:before="60" w:after="60"/>
      </w:pPr>
      <w:r>
        <w:rPr>
          <w:rFonts w:ascii="Arial" w:cs="Arial" w:eastAsia="Arial" w:hAnsi="Arial"/>
          <w:b w:val="false"/>
          <w:bCs w:val="false"/>
          <w:sz w:val="22"/>
          <w:szCs w:val="22"/>
        </w:rPr>
        <w:t xml:space="preserve">Más de 1.000 familias atendidas</w:t>
      </w:r>
    </w:p>
    <w:p>
      <w:pPr>
        <w:pStyle w:val="ListParagraph"/>
        <w:numPr>
          <w:ilvl w:val="0"/>
          <w:numId w:val="2"/>
        </w:numPr>
        <w:spacing w:before="60" w:after="60"/>
      </w:pPr>
      <w:r>
        <w:rPr>
          <w:rFonts w:ascii="Arial" w:cs="Arial" w:eastAsia="Arial" w:hAnsi="Arial"/>
          <w:b w:val="false"/>
          <w:bCs w:val="false"/>
          <w:sz w:val="22"/>
          <w:szCs w:val="22"/>
        </w:rPr>
        <w:t xml:space="preserve">Más de 700 familias en programas terapéuticos activos</w:t>
      </w:r>
    </w:p>
    <w:p>
      <w:pPr>
        <w:pStyle w:val="ListParagraph"/>
        <w:numPr>
          <w:ilvl w:val="0"/>
          <w:numId w:val="2"/>
        </w:numPr>
        <w:spacing w:before="60" w:after="60"/>
      </w:pPr>
      <w:r>
        <w:rPr>
          <w:rFonts w:ascii="Arial" w:cs="Arial" w:eastAsia="Arial" w:hAnsi="Arial"/>
          <w:b w:val="false"/>
          <w:bCs w:val="false"/>
          <w:sz w:val="22"/>
          <w:szCs w:val="22"/>
        </w:rPr>
        <w:t xml:space="preserve">Facturación 2025: 532.739€ (+33% vs 2024)</w:t>
      </w:r>
    </w:p>
    <w:p>
      <w:pPr>
        <w:pStyle w:val="ListParagraph"/>
        <w:numPr>
          <w:ilvl w:val="0"/>
          <w:numId w:val="2"/>
        </w:numPr>
        <w:spacing w:before="60" w:after="60"/>
      </w:pPr>
      <w:r>
        <w:rPr>
          <w:rFonts w:ascii="Arial" w:cs="Arial" w:eastAsia="Arial" w:hAnsi="Arial"/>
          <w:b w:val="false"/>
          <w:bCs w:val="false"/>
          <w:sz w:val="22"/>
          <w:szCs w:val="22"/>
        </w:rPr>
        <w:t xml:space="preserve">Presupuesto 2026: 718.740€ (+35% vs 2025)</w:t>
      </w:r>
    </w:p>
    <w:p>
      <w:pPr>
        <w:pStyle w:val="ListParagraph"/>
        <w:numPr>
          <w:ilvl w:val="0"/>
          <w:numId w:val="2"/>
        </w:numPr>
        <w:spacing w:before="60" w:after="60"/>
      </w:pPr>
      <w:r>
        <w:rPr>
          <w:rFonts w:ascii="Arial" w:cs="Arial" w:eastAsia="Arial" w:hAnsi="Arial"/>
          <w:b w:val="false"/>
          <w:bCs w:val="false"/>
          <w:sz w:val="22"/>
          <w:szCs w:val="22"/>
        </w:rPr>
        <w:t xml:space="preserve">Ticket medio: 104€/sesión</w:t>
      </w:r>
    </w:p>
    <w:p>
      <w:pPr>
        <w:pStyle w:val="ListParagraph"/>
        <w:numPr>
          <w:ilvl w:val="0"/>
          <w:numId w:val="2"/>
        </w:numPr>
        <w:spacing w:before="60" w:after="60"/>
      </w:pPr>
      <w:r>
        <w:rPr>
          <w:rFonts w:ascii="Arial" w:cs="Arial" w:eastAsia="Arial" w:hAnsi="Arial"/>
          <w:b w:val="false"/>
          <w:bCs w:val="false"/>
          <w:sz w:val="22"/>
          <w:szCs w:val="22"/>
        </w:rPr>
        <w:t xml:space="preserve">Premio Innovación La Caixa a Inclusive Sport</w:t>
      </w:r>
    </w:p>
    <w:p>
      <w:r>
        <w:br w:type="page"/>
      </w:r>
    </w:p>
    <w:p>
      <w:pPr>
        <w:pBdr>
          <w:top w:val="single" w:color="2E75B6" w:sz="4" w:space="4"/>
        </w:pBdr>
        <w:spacing w:before="360" w:after="120"/>
      </w:pPr>
      <w:r>
        <w:rPr>
          <w:rFonts w:ascii="Arial" w:cs="Arial" w:eastAsia="Arial" w:hAnsi="Arial"/>
          <w:b/>
          <w:bCs/>
          <w:color w:val="2E75B6"/>
          <w:sz w:val="22"/>
          <w:szCs w:val="22"/>
          <w:caps/>
        </w:rPr>
        <w:t xml:space="preserve">▌  CAPTACIÓN DE FAMILIAS</w:t>
      </w:r>
    </w:p>
    <w:p>
      <w:pPr>
        <w:spacing w:before="120" w:after="120"/>
      </w:pPr>
      <w:r>
        <w:rPr>
          <w:rFonts w:ascii="Arial" w:cs="Arial" w:eastAsia="Arial" w:hAnsi="Arial"/>
          <w:sz w:val="24"/>
          <w:szCs w:val="24"/>
        </w:rPr>
        <w:t xml:space="preserve">La captación es uno de los ejes estratégicos más críticos de Fundación Pegasus. Con una estructura de costes donde el 85% son nóminas y servicios ya dimensionados para más usuarios de los actuales, llenar las plazas disponibles no es un objetivo de crecimiento: es una condición de sostenibilidad. A marzo de 2026, la ocupación de TPT está en torno al 65% de su capacidad instalada, con margen para absorber hasta 250 plazas adicionales sin coste marginal significativo.</w:t>
      </w:r>
    </w:p>
    <w:p>
      <w:pPr>
        <w:pStyle w:val="Heading2"/>
        <w:spacing w:before="240" w:after="120"/>
      </w:pPr>
      <w:bookmarkStart w:id="401" w:name="section_sec6_1"/>
      <w:bookmarkEnd w:id="401"/>
      <w:r>
        <w:rPr>
          <w:rFonts w:ascii="Arial" w:cs="Arial" w:eastAsia="Arial" w:hAnsi="Arial"/>
          <w:b/>
          <w:bCs/>
          <w:color w:val="2E75B6"/>
          <w:sz w:val="28"/>
          <w:szCs w:val="28"/>
        </w:rPr>
        <w:t xml:space="preserve">5.7 Canales de Entrada</w:t>
      </w:r>
    </w:p>
    <w:p>
      <w:pPr>
        <w:spacing w:before="120" w:after="60"/>
      </w:pPr>
      <w:r>
        <w:rPr>
          <w:rFonts w:ascii="Arial" w:cs="Arial" w:eastAsia="Arial" w:hAnsi="Arial"/>
          <w:b/>
          <w:sz w:val="24"/>
          <w:szCs w:val="24"/>
        </w:rPr>
        <w:t xml:space="preserve">Canales orgánicos (goteo pasivo)</w:t>
      </w:r>
    </w:p>
    <w:p>
      <w:pPr>
        <w:spacing w:before="60" w:after="120"/>
      </w:pPr>
      <w:r>
        <w:rPr>
          <w:rFonts w:ascii="Arial" w:cs="Arial" w:eastAsia="Arial" w:hAnsi="Arial"/>
          <w:sz w:val="24"/>
          <w:szCs w:val="24"/>
        </w:rPr>
        <w:t xml:space="preserve">Cada centro terapéutico tiene ficha propia en Google My Business. La web de Fundación Pegasus actúa como escaparate general. Las redes sociales —Instagram, TikTok y LinkedIn— operan bajo dos marcas: @fundacionpegasus y @lomiononesnormal, la cuenta personal de David Rodríguez con 60.000 seguidores en Instagram. El contenido se publica de forma progresiva y genera un goteo constante de interés, aunque sin un ritmo de publicación todavía sistematizado.</w:t>
      </w:r>
    </w:p>
    <w:p>
      <w:pPr>
        <w:spacing w:before="120" w:after="60"/>
      </w:pPr>
      <w:r>
        <w:rPr>
          <w:rFonts w:ascii="Arial" w:cs="Arial" w:eastAsia="Arial" w:hAnsi="Arial"/>
          <w:b/>
          <w:sz w:val="24"/>
          <w:szCs w:val="24"/>
        </w:rPr>
        <w:t xml:space="preserve">Canales activos (captación directa)</w:t>
      </w:r>
    </w:p>
    <w:p>
      <w:pPr>
        <w:spacing w:before="60" w:after="60"/>
      </w:pPr>
      <w:r>
        <w:rPr>
          <w:rFonts w:ascii="Arial" w:cs="Arial" w:eastAsia="Arial" w:hAnsi="Arial"/>
          <w:b/>
          <w:sz w:val="24"/>
          <w:szCs w:val="24"/>
        </w:rPr>
        <w:t xml:space="preserve">1. Facebook Ads. </w:t>
      </w:r>
      <w:r>
        <w:rPr>
          <w:rFonts w:ascii="Arial" w:cs="Arial" w:eastAsia="Arial" w:hAnsi="Arial"/>
          <w:sz w:val="24"/>
          <w:szCs w:val="24"/>
        </w:rPr>
        <w:t xml:space="preserve">Publicidad en social media como canal de captación pagada. Su eficacia está en descenso progresivo por las restricciones de segmentación introducidas por la regulación europea sobre Meta, lo que encarece el coste por lead. Se mantiene como canal activo pero con rentabilidad decreciente.</w:t>
      </w:r>
    </w:p>
    <w:p>
      <w:pPr>
        <w:spacing w:before="60" w:after="60"/>
      </w:pPr>
      <w:r>
        <w:rPr>
          <w:rFonts w:ascii="Arial" w:cs="Arial" w:eastAsia="Arial" w:hAnsi="Arial"/>
          <w:b/>
          <w:sz w:val="24"/>
          <w:szCs w:val="24"/>
        </w:rPr>
        <w:t xml:space="preserve">2. Red de stakeholders. </w:t>
      </w:r>
      <w:r>
        <w:rPr>
          <w:rFonts w:ascii="Arial" w:cs="Arial" w:eastAsia="Arial" w:hAnsi="Arial"/>
          <w:sz w:val="24"/>
          <w:szCs w:val="24"/>
        </w:rPr>
        <w:t xml:space="preserve">Canal estratégico prioritario. Se firman convenios de colaboración con asociaciones y colegios de cada municipio donde opera Pegasus. A cambio de referir familias a los servicios, se les regala la matrícula de agosto (valorada en 80€) a cada familia que llegue a través de ellos. Esta palanca es especialmente relevante porque elimina una barrera económica de entrada y genera confianza a través de un intermediario ya conocido por la familia. El mantenimiento activo de esta red de stakeholders —visitas presenciales, seguimiento, renovación de convenios— es una de las responsabilidades centrales de la nueva figura de captación.</w:t>
      </w:r>
    </w:p>
    <w:p>
      <w:pPr>
        <w:spacing w:before="60" w:after="120"/>
      </w:pPr>
      <w:r>
        <w:rPr>
          <w:rFonts w:ascii="Arial" w:cs="Arial" w:eastAsia="Arial" w:hAnsi="Arial"/>
          <w:b/>
          <w:sz w:val="24"/>
          <w:szCs w:val="24"/>
        </w:rPr>
        <w:t xml:space="preserve">3. Buzoneo por terapeutas. </w:t>
      </w:r>
      <w:r>
        <w:rPr>
          <w:rFonts w:ascii="Arial" w:cs="Arial" w:eastAsia="Arial" w:hAnsi="Arial"/>
          <w:sz w:val="24"/>
          <w:szCs w:val="24"/>
        </w:rPr>
        <w:t xml:space="preserve">Los terapeutas con huecos libres en su agenda reciben flyers para repartir por su municipio. Es un canal de bajo coste y proximidad geográfica, aunque de difícil medición.</w:t>
      </w:r>
    </w:p>
    <w:p>
      <w:pPr>
        <w:pStyle w:val="Heading2"/>
        <w:spacing w:before="240" w:after="120"/>
      </w:pPr>
      <w:bookmarkStart w:id="4165" w:name="section_sec6_2"/>
      <w:bookmarkEnd w:id="4165"/>
      <w:r>
        <w:rPr>
          <w:rFonts w:ascii="Arial" w:cs="Arial" w:eastAsia="Arial" w:hAnsi="Arial"/>
          <w:b/>
          <w:bCs/>
          <w:color w:val="2E75B6"/>
          <w:sz w:val="28"/>
          <w:szCs w:val="28"/>
        </w:rPr>
        <w:t xml:space="preserve">5.8 El Funnel: de la Consulta al Compromiso</w:t>
      </w:r>
    </w:p>
    <w:p>
      <w:pPr>
        <w:spacing w:before="60" w:after="60"/>
      </w:pPr>
      <w:r>
        <w:rPr>
          <w:rFonts w:ascii="Arial" w:cs="Arial" w:eastAsia="Arial" w:hAnsi="Arial"/>
          <w:b/>
          <w:sz w:val="24"/>
          <w:szCs w:val="24"/>
        </w:rPr>
        <w:t xml:space="preserve">Paso 1 — Punto de entrada único: el teléfono de captación.</w:t>
      </w:r>
      <w:r>
        <w:rPr>
          <w:rFonts w:ascii="Arial" w:cs="Arial" w:eastAsia="Arial" w:hAnsi="Arial"/>
          <w:sz w:val="24"/>
          <w:szCs w:val="24"/>
        </w:rPr>
        <w:t xml:space="preserve"> Independientemente del canal de origen, todas las consultas entrantes se derivan a un único número de captación. Esto permite centralizar el control de la demanda y asegurar que ninguna consulta se pierda sin atender.</w:t>
      </w:r>
    </w:p>
    <w:p>
      <w:pPr>
        <w:spacing w:before="60" w:after="60"/>
      </w:pPr>
      <w:r>
        <w:rPr>
          <w:rFonts w:ascii="Arial" w:cs="Arial" w:eastAsia="Arial" w:hAnsi="Arial"/>
          <w:b/>
          <w:sz w:val="24"/>
          <w:szCs w:val="24"/>
        </w:rPr>
        <w:t xml:space="preserve">Paso 2 — Escucha activa y asesoramiento.</w:t>
      </w:r>
      <w:r>
        <w:rPr>
          <w:rFonts w:ascii="Arial" w:cs="Arial" w:eastAsia="Arial" w:hAnsi="Arial"/>
          <w:sz w:val="24"/>
          <w:szCs w:val="24"/>
        </w:rPr>
        <w:t xml:space="preserve"> La persona de captación escucha el caso (características del niño o del usuario, necesidades, municipio, disponibilidad) y hace una recomendación personalizada: qué servicio encaja mejor, en qué centro, con qué perfil de terapeuta o modalidad. Se trata de una venta consultiva, no transaccional.</w:t>
      </w:r>
    </w:p>
    <w:p>
      <w:pPr>
        <w:spacing w:before="60" w:after="60"/>
      </w:pPr>
      <w:r>
        <w:rPr>
          <w:rFonts w:ascii="Arial" w:cs="Arial" w:eastAsia="Arial" w:hAnsi="Arial"/>
          <w:b/>
          <w:sz w:val="24"/>
          <w:szCs w:val="24"/>
        </w:rPr>
        <w:t xml:space="preserve">Paso 3 — Sesión de valoración gratuita.</w:t>
      </w:r>
      <w:r>
        <w:rPr>
          <w:rFonts w:ascii="Arial" w:cs="Arial" w:eastAsia="Arial" w:hAnsi="Arial"/>
          <w:sz w:val="24"/>
          <w:szCs w:val="24"/>
        </w:rPr>
        <w:t xml:space="preserve"> Para reducir la fricción de entrada, Pegasus ofrece una primera sesión gratuita con el profesional. Esta sesión tiene doble función: valorar al usuario y que la familia conozca al terapeuta antes de comprometerse. Es una palanca clave para convertir una consulta en alta, especialmente en familias que vienen sin diagnóstico claro o que no conocen el modelo Pegasus.</w:t>
      </w:r>
    </w:p>
    <w:p>
      <w:pPr>
        <w:spacing w:before="60" w:after="60"/>
      </w:pPr>
      <w:r>
        <w:rPr>
          <w:rFonts w:ascii="Arial" w:cs="Arial" w:eastAsia="Arial" w:hAnsi="Arial"/>
          <w:b/>
          <w:sz w:val="24"/>
          <w:szCs w:val="24"/>
        </w:rPr>
        <w:t xml:space="preserve">Paso 4 — Cierre y registro en CRM.</w:t>
      </w:r>
      <w:r>
        <w:rPr>
          <w:rFonts w:ascii="Arial" w:cs="Arial" w:eastAsia="Arial" w:hAnsi="Arial"/>
          <w:sz w:val="24"/>
          <w:szCs w:val="24"/>
        </w:rPr>
        <w:t xml:space="preserve"> Una vez realizado el pago, la familia queda registrada en el CRM. Se formaliza el compromiso anual (septiembre-julio) más la matrícula de agosto (80€). La lógica del modelo es que el precio mensual bajo —entre 17,95€ y 25,95€ por sesión— es posible precisamente porque se garantizan 11 meses de ingresos continuados. Sin ese compromiso anual, el modelo no es viable.</w:t>
      </w:r>
    </w:p>
    <w:p>
      <w:pPr>
        <w:pStyle w:val="Heading2"/>
        <w:spacing w:before="240" w:after="120"/>
      </w:pPr>
      <w:bookmarkStart w:id="2024" w:name="section_sec6_3"/>
      <w:bookmarkEnd w:id="2024"/>
      <w:r>
        <w:rPr>
          <w:rFonts w:ascii="Arial" w:cs="Arial" w:eastAsia="Arial" w:hAnsi="Arial"/>
          <w:b/>
          <w:bCs/>
          <w:color w:val="2E75B6"/>
          <w:sz w:val="28"/>
          <w:szCs w:val="28"/>
        </w:rPr>
        <w:t xml:space="preserve">5.9 El Stopper Crítico: Julio y Agosto</w:t>
      </w:r>
    </w:p>
    <w:p>
      <w:pPr>
        <w:spacing w:before="60" w:after="120"/>
      </w:pPr>
      <w:r>
        <w:rPr>
          <w:rFonts w:ascii="Arial" w:cs="Arial" w:eastAsia="Arial" w:hAnsi="Arial"/>
          <w:sz w:val="24"/>
          <w:szCs w:val="24"/>
        </w:rPr>
        <w:t xml:space="preserve">El principal punto de fricción del modelo de captación y retención se concentra en los meses de verano. Muchas familias no comprenden que julio se debe pagar íntegramente aunque el niño no asista por vacaciones. La confusión nace de una malinterpretación del modelo: el precio bajo no es un precio por sesión, sino el resultado de distribuir el coste total del servicio en 11 mensualidades. Si una familia deja de pagar julio argumentando que se va de vacaciones, rompe la lógica financiera del modelo para toda la red.</w:t>
      </w:r>
    </w:p>
    <w:p>
      <w:pPr>
        <w:spacing w:before="60" w:after="120"/>
      </w:pPr>
      <w:r>
        <w:rPr>
          <w:rFonts w:ascii="Arial" w:cs="Arial" w:eastAsia="Arial" w:hAnsi="Arial"/>
          <w:sz w:val="24"/>
          <w:szCs w:val="24"/>
        </w:rPr>
        <w:t xml:space="preserve">Este stopper se expresa de dos formas: bajas prematuras en junio-julio, e impagos o conflictos en torno al cobro de julio. La gestión de este momento del año —comunicación proactiva a las familias sobre el compromiso, trabajo de retención, manejo de objeciones— es una de las funciones más importantes de la figura de captación.</w:t>
      </w:r>
    </w:p>
    <w:p>
      <w:pPr>
        <w:pStyle w:val="Heading2"/>
        <w:spacing w:before="240" w:after="120"/>
      </w:pPr>
      <w:bookmarkStart w:id="8757" w:name="section_sec6_4"/>
      <w:bookmarkEnd w:id="8757"/>
      <w:r>
        <w:rPr>
          <w:rFonts w:ascii="Arial" w:cs="Arial" w:eastAsia="Arial" w:hAnsi="Arial"/>
          <w:b/>
          <w:bCs/>
          <w:color w:val="2E75B6"/>
          <w:sz w:val="28"/>
          <w:szCs w:val="28"/>
        </w:rPr>
        <w:t xml:space="preserve">5.10 La Nueva Figura de Captación</w:t>
      </w:r>
    </w:p>
    <w:p>
      <w:pPr>
        <w:spacing w:before="60" w:after="120"/>
      </w:pPr>
      <w:r>
        <w:rPr>
          <w:rFonts w:ascii="Arial" w:cs="Arial" w:eastAsia="Arial" w:hAnsi="Arial"/>
          <w:sz w:val="24"/>
          <w:szCs w:val="24"/>
        </w:rPr>
        <w:t xml:space="preserve">Hasta principios de 2026, la captación la gestionaba Ana García (coordinadora de TPT Zona 2) de forma subsidiaria, con el consiguiente impacto en la calidad de atención: entre la coordinación operativa de los centros y las consultas entrantes, ninguna de las dos recibía atención plena. En marzo de 2026 se incorpora una persona dedicada exclusivamente a captación, lo que constituye una inversión estratégica que debe rentabilizarse desde el primer mes.</w:t>
      </w:r>
    </w:p>
    <w:p>
      <w:pPr>
        <w:spacing w:before="60" w:after="60"/>
      </w:pPr>
      <w:r>
        <w:rPr>
          <w:rFonts w:ascii="Arial" w:cs="Arial" w:eastAsia="Arial" w:hAnsi="Arial"/>
          <w:sz w:val="24"/>
          <w:szCs w:val="24"/>
        </w:rPr>
        <w:t xml:space="preserve">Las tres responsabilidades de esta figura son:</w:t>
      </w:r>
    </w:p>
    <w:p>
      <w:pPr>
        <w:numPr>
          <w:ilvl w:val="0"/>
          <w:numId w:val="1"/>
        </w:numPr>
        <w:spacing w:before="60" w:after="60"/>
      </w:pPr>
      <w:r>
        <w:rPr>
          <w:rFonts w:ascii="Arial" w:cs="Arial" w:eastAsia="Arial" w:hAnsi="Arial"/>
          <w:b/>
          <w:sz w:val="24"/>
          <w:szCs w:val="24"/>
        </w:rPr>
        <w:t xml:space="preserve">Captación activa: </w:t>
      </w:r>
      <w:r>
        <w:rPr>
          <w:rFonts w:ascii="Arial" w:cs="Arial" w:eastAsia="Arial" w:hAnsi="Arial"/>
          <w:sz w:val="24"/>
          <w:szCs w:val="24"/>
        </w:rPr>
        <w:t xml:space="preserve">atender consultas entrantes, asesorar y cerrar altas. Gestión de la agenda de terapeutas para asignar plazas disponibles.</w:t>
      </w:r>
    </w:p>
    <w:p>
      <w:pPr>
        <w:numPr>
          <w:ilvl w:val="0"/>
          <w:numId w:val="1"/>
        </w:numPr>
        <w:spacing w:before="60" w:after="60"/>
      </w:pPr>
      <w:r>
        <w:rPr>
          <w:rFonts w:ascii="Arial" w:cs="Arial" w:eastAsia="Arial" w:hAnsi="Arial"/>
          <w:b/>
          <w:sz w:val="24"/>
          <w:szCs w:val="24"/>
        </w:rPr>
        <w:t xml:space="preserve">Retención: </w:t>
      </w:r>
      <w:r>
        <w:rPr>
          <w:rFonts w:ascii="Arial" w:cs="Arial" w:eastAsia="Arial" w:hAnsi="Arial"/>
          <w:sz w:val="24"/>
          <w:szCs w:val="24"/>
        </w:rPr>
        <w:t xml:space="preserve">gestionar solicitudes de baja, entender el motivo, intentar reconducir la situación. Especialmente crítico en los meses de junio y julio.</w:t>
      </w:r>
    </w:p>
    <w:p>
      <w:pPr>
        <w:numPr>
          <w:ilvl w:val="0"/>
          <w:numId w:val="1"/>
        </w:numPr>
        <w:spacing w:before="60" w:after="120"/>
      </w:pPr>
      <w:r>
        <w:rPr>
          <w:rFonts w:ascii="Arial" w:cs="Arial" w:eastAsia="Arial" w:hAnsi="Arial"/>
          <w:b/>
          <w:sz w:val="24"/>
          <w:szCs w:val="24"/>
        </w:rPr>
        <w:t xml:space="preserve">Red de stakeholders: </w:t>
      </w:r>
      <w:r>
        <w:rPr>
          <w:rFonts w:ascii="Arial" w:cs="Arial" w:eastAsia="Arial" w:hAnsi="Arial"/>
          <w:sz w:val="24"/>
          <w:szCs w:val="24"/>
        </w:rPr>
        <w:t xml:space="preserve">visitar y mantener activos los convenios con asociaciones y colegios. Identificar nuevos stakeholders potenciales en municipios con plazas libres. El objetivo es que los servicios de Pegasus sean siempre la primera referencia que reciba una familia cuando busca apoyo terapéutico o deportivo inclusivo.</w:t>
      </w:r>
    </w:p>
    <w:p>
      <w:pPr>
        <w:spacing w:before="60" w:after="120"/>
      </w:pPr>
      <w:r>
        <w:rPr>
          <w:rFonts w:ascii="Arial" w:cs="Arial" w:eastAsia="Arial" w:hAnsi="Arial"/>
          <w:color w:val="595959"/>
          <w:sz w:val="22"/>
          <w:szCs w:val="22"/>
          <w:i/>
        </w:rPr>
        <w:t xml:space="preserve">Nota estratégica: a la fecha de redacción de este manual, la figura de captación lleva apenas tres días en su puesto. La prioridad inmediata es su formación en el modelo, los servicios, los municipios activos y el CRM, para poder operar con autonomía lo antes posible. El reto es claro: cada plaza vacía que se llene tiene un impacto directo en el resultado sin generar coste adicional.</w:t>
      </w:r>
    </w:p>
    <w:p>
      <w:pPr>
        <w:pBdr>
          <w:top w:val="single" w:color="2E75B6" w:sz="4" w:space="4"/>
        </w:pBdr>
        <w:spacing w:before="360" w:after="120"/>
      </w:pPr>
      <w:r>
        <w:rPr>
          <w:rFonts w:ascii="Arial" w:cs="Arial" w:eastAsia="Arial" w:hAnsi="Arial"/>
          <w:b/>
          <w:bCs/>
          <w:color w:val="2E75B6"/>
          <w:sz w:val="22"/>
          <w:szCs w:val="22"/>
          <w:caps/>
        </w:rPr>
        <w:t xml:space="preserve">▌  OPERATIVA Y GESTIÓN</w:t>
      </w:r>
    </w:p>
    <w:p>
      <w:pPr>
        <w:spacing w:before="120" w:after="120"/>
      </w:pPr>
      <w:r>
        <w:rPr>
          <w:rFonts w:ascii="Arial" w:cs="Arial" w:eastAsia="Arial" w:hAnsi="Arial"/>
          <w:sz w:val="24"/>
          <w:szCs w:val="24"/>
        </w:rPr>
        <w:t xml:space="preserve">La operativa diaria de TPT descansa sobre tres pilares interconectados: la gestión de agendas a través de un Excel centralizado y el CRM MN Program, el sistema de incentivos por productividad, y la política de formación de parejas y grupos. Los tres están diseñados para maximizar la ocupación de cada terapeuta — que es, en última instancia, la única palanca de crecimiento de ingresos sin coste marginal adicional.</w:t>
      </w:r>
    </w:p>
    <w:p>
      <w:pPr>
        <w:pStyle w:val="Heading2"/>
        <w:spacing w:before="240" w:after="120"/>
      </w:pPr>
      <w:bookmarkStart w:id="5137" w:name="section_sec7_1"/>
      <w:bookmarkEnd w:id="5137"/>
      <w:r>
        <w:rPr>
          <w:rFonts w:ascii="Arial" w:cs="Arial" w:eastAsia="Arial" w:hAnsi="Arial"/>
          <w:b/>
          <w:bCs/>
          <w:color w:val="2E75B6"/>
          <w:sz w:val="28"/>
          <w:szCs w:val="28"/>
        </w:rPr>
        <w:t xml:space="preserve">5.11 El Sistema de Gestión de Agendas</w:t>
      </w:r>
    </w:p>
    <w:p>
      <w:pPr>
        <w:spacing w:before="60" w:after="120"/>
      </w:pPr>
      <w:r>
        <w:rPr>
          <w:rFonts w:ascii="Arial" w:cs="Arial" w:eastAsia="Arial" w:hAnsi="Arial"/>
          <w:sz w:val="24"/>
          <w:szCs w:val="24"/>
        </w:rPr>
        <w:t xml:space="preserve">Las agendas de TPT se gestionan en dos capas. La primera es un Google Sheets centralizado con una hoja por cada combinación de centro y especialidad (ARG-FISIO, ARG-LOGO, MOST-TO, etc.), enlazadas con hojas personales de cada terapeuta. La segunda capa es el CRM MN Program, donde los terapeutas fichan, registran asistencia de cada sesión e indican incidencias.</w:t>
      </w:r>
    </w:p>
    <w:p>
      <w:pPr>
        <w:spacing w:before="60" w:after="60"/>
      </w:pPr>
      <w:r>
        <w:rPr>
          <w:rFonts w:ascii="Arial" w:cs="Arial" w:eastAsia="Arial" w:hAnsi="Arial"/>
          <w:b/>
          <w:sz w:val="24"/>
          <w:szCs w:val="24"/>
        </w:rPr>
        <w:t xml:space="preserve">Accesos y permisos. </w:t>
      </w:r>
      <w:r>
        <w:rPr>
          <w:rFonts w:ascii="Arial" w:cs="Arial" w:eastAsia="Arial" w:hAnsi="Arial"/>
          <w:sz w:val="24"/>
          <w:szCs w:val="24"/>
        </w:rPr>
        <w:t xml:space="preserve">Los terapeutas tienen acceso de solo lectura — pueden ver su propia agenda pero no editarla. Las coordinadoras, las directoras y la persona de captación tienen acceso de edición. Este modelo centraliza el control de la oferta disponible y permite a captación ver en tiempo real qué huecos hay en cada centro antes de hacer una recomendación a una familia.</w:t>
      </w:r>
    </w:p>
    <w:p>
      <w:pPr>
        <w:spacing w:before="60" w:after="60"/>
      </w:pPr>
      <w:r>
        <w:rPr>
          <w:rFonts w:ascii="Arial" w:cs="Arial" w:eastAsia="Arial" w:hAnsi="Arial"/>
          <w:b/>
          <w:sz w:val="24"/>
          <w:szCs w:val="24"/>
        </w:rPr>
        <w:t xml:space="preserve">Codificación de slots. </w:t>
      </w:r>
      <w:r>
        <w:rPr>
          <w:rFonts w:ascii="Arial" w:cs="Arial" w:eastAsia="Arial" w:hAnsi="Arial"/>
          <w:sz w:val="24"/>
          <w:szCs w:val="24"/>
        </w:rPr>
        <w:t xml:space="preserve">Cada franja horaria de 40 minutos tiene un estado codificado: T1/T2/T3 (sesión individual, pareja o trío ocupada), TG4 a TG8 (grupos de 4 a 8 usuarios), T0 (slot abierto vacío), T-LT (libre temporal, slot cerrado temporalmente), GA (gestión administrativa, no disponible para usuarios), GT (gestión terapéutica — reuniones o dinámicas), X (no disponible por restricción de instalación), A (alta en proceso, pendiente de confirmar matrícula y pago), Q (posible alta no confirmada).</w:t>
      </w:r>
    </w:p>
    <w:p>
      <w:pPr>
        <w:spacing w:before="60" w:after="120"/>
      </w:pPr>
      <w:r>
        <w:rPr>
          <w:rFonts w:ascii="Arial" w:cs="Arial" w:eastAsia="Arial" w:hAnsi="Arial"/>
          <w:b/>
          <w:sz w:val="24"/>
          <w:szCs w:val="24"/>
        </w:rPr>
        <w:t xml:space="preserve">Triaje por grupos de edad. </w:t>
      </w:r>
      <w:r>
        <w:rPr>
          <w:rFonts w:ascii="Arial" w:cs="Arial" w:eastAsia="Arial" w:hAnsi="Arial"/>
          <w:sz w:val="24"/>
          <w:szCs w:val="24"/>
        </w:rPr>
        <w:t xml:space="preserve">Cada usuario está asignado a un grupo de edad: A (2-4 años), B (5-7), C (8-11), D (12-15), E (16-19). La asignación de familias no es aleatoria — hay matching por perfil de edad y compatibilidad terapéutica. El triaje es responsabilidad de las coordinadoras y es la base para identificar qué usuarios pueden compartir sesión en pareja o grupo.</w:t>
      </w:r>
    </w:p>
    <w:p>
      <w:pPr>
        <w:pStyle w:val="Heading2"/>
        <w:spacing w:before="240" w:after="120"/>
      </w:pPr>
      <w:bookmarkStart w:id="8352" w:name="section_sec7_2"/>
      <w:bookmarkEnd w:id="8352"/>
      <w:r>
        <w:rPr>
          <w:rFonts w:ascii="Arial" w:cs="Arial" w:eastAsia="Arial" w:hAnsi="Arial"/>
          <w:b/>
          <w:bCs/>
          <w:color w:val="2E75B6"/>
          <w:sz w:val="28"/>
          <w:szCs w:val="28"/>
        </w:rPr>
        <w:t xml:space="preserve">5.12 El Contrato del Terapeuta y el Sistema de Pluses</w:t>
      </w:r>
    </w:p>
    <w:p>
      <w:pPr>
        <w:spacing w:before="60" w:after="60"/>
      </w:pPr>
      <w:r>
        <w:rPr>
          <w:rFonts w:ascii="Arial" w:cs="Arial" w:eastAsia="Arial" w:hAnsi="Arial"/>
          <w:sz w:val="24"/>
          <w:szCs w:val="24"/>
        </w:rPr>
        <w:t xml:space="preserve">El contrato estándar de terapeuta en TPT es de 26 horas semanales fijas, distribuidas en 20 horas de sesiones (30 slots de 40 minutos) y 6 horas de gestión fija y dinámicas emocionales. Sobre esta base pueden añadirse horas complementarias que fluctúan en función de la demanda del centro.</w:t>
      </w:r>
    </w:p>
    <w:p>
      <w:pPr>
        <w:spacing w:before="60" w:after="60"/>
      </w:pPr>
      <w:r>
        <w:rPr>
          <w:rFonts w:ascii="Arial" w:cs="Arial" w:eastAsia="Arial" w:hAnsi="Arial"/>
          <w:sz w:val="24"/>
          <w:szCs w:val="24"/>
        </w:rPr>
        <w:t xml:space="preserve">Sobre el salario base, los terapeutas pueden acceder a dos pluses mensuales de productividad, vinculados directamente a su tasa de ocupación. La métrica central del sistema es: </w:t>
      </w:r>
      <w:r>
        <w:rPr>
          <w:rFonts w:ascii="Arial" w:cs="Arial" w:eastAsia="Arial" w:hAnsi="Arial"/>
          <w:b/>
          <w:sz w:val="24"/>
          <w:szCs w:val="24"/>
        </w:rPr>
        <w:t xml:space="preserve">Plazas - Slots Abiertos.</w:t>
      </w:r>
      <w:r>
        <w:rPr>
          <w:rFonts w:ascii="Arial" w:cs="Arial" w:eastAsia="Arial" w:hAnsi="Arial"/>
          <w:sz w:val="24"/>
          <w:szCs w:val="24"/>
        </w:rPr>
        <w:t xml:space="preserve"> Un slot abierto es una franja donde puede haber sesión. Una plaza es un usuario en ese slot. La ocupación está al 100% cuando ambos números se igualan (resultado = 0). Si hay parejas o tríos, las plazas superan los slots y el resultado es positivo — se ha superado el 100%.</w:t>
      </w:r>
    </w:p>
    <w:p>
      <w:pPr>
        <w:spacing w:before="60" w:after="60"/>
      </w:pPr>
      <w:r>
        <w:rPr>
          <w:rFonts w:ascii="Arial" w:cs="Arial" w:eastAsia="Arial" w:hAnsi="Arial"/>
          <w:sz w:val="24"/>
          <w:szCs w:val="24"/>
        </w:rPr>
        <w:t xml:space="preserve">El valor de cada tipo de sesión en el cálculo es el siguiente: sesión individual (0, neutro), sesión de pareja (+1), trío (+2), cuarteto (+3). Las sesiones de gestión terapéutica (GT) y las recuperaciones restan 1 cada una, al ocupar un slot sin generar plaza. Los slots libres temporales (LT) no cuentan.</w:t>
      </w:r>
    </w:p>
    <w:p>
      <w:pPr>
        <w:spacing w:before="60" w:after="60"/>
      </w:pPr>
      <w:r>
        <w:rPr>
          <w:rFonts w:ascii="Arial" w:cs="Arial" w:eastAsia="Arial" w:hAnsi="Arial"/>
          <w:b/>
          <w:sz w:val="24"/>
          <w:szCs w:val="24"/>
        </w:rPr>
        <w:t xml:space="preserve">Plus Ocupación (65€ brutos/mes): </w:t>
      </w:r>
      <w:r>
        <w:rPr>
          <w:rFonts w:ascii="Arial" w:cs="Arial" w:eastAsia="Arial" w:hAnsi="Arial"/>
          <w:sz w:val="24"/>
          <w:szCs w:val="24"/>
        </w:rPr>
        <w:t xml:space="preserve">Se activa cuando el acumulado mensual de Plazas - Slots Abiertos ≥ -1. El margen de -1 permite tener hasta una sesión de gestión o recuperación sin perder el plus. Es un umbral alcanzable para cualquier terapeuta con una carga normal.</w:t>
      </w:r>
    </w:p>
    <w:p>
      <w:pPr>
        <w:spacing w:before="60" w:after="120"/>
      </w:pPr>
      <w:r>
        <w:rPr>
          <w:rFonts w:ascii="Arial" w:cs="Arial" w:eastAsia="Arial" w:hAnsi="Arial"/>
          <w:b/>
          <w:sz w:val="24"/>
          <w:szCs w:val="24"/>
        </w:rPr>
        <w:t xml:space="preserve">Plus Plaza Extra (30€ brutos por plaza extra): </w:t>
      </w:r>
      <w:r>
        <w:rPr>
          <w:rFonts w:ascii="Arial" w:cs="Arial" w:eastAsia="Arial" w:hAnsi="Arial"/>
          <w:sz w:val="24"/>
          <w:szCs w:val="24"/>
        </w:rPr>
        <w:t xml:space="preserve">Se activa cuando el promedio mensual de (Plazas - Slots Abiertos) / número de semanas del mes es superior a 0. Es decir, solo si en promedio mensual hay más plazas que slots — lo que solo ocurre cuando hay parejas, tríos o grupos netos. Ejemplo real: Sara, con 8 plazas extra en el mes, cobra 8 x 30€ = 240€ brutos adicionales ese mes.</w:t>
      </w:r>
    </w:p>
    <w:p>
      <w:pPr>
        <w:pStyle w:val="Heading2"/>
        <w:spacing w:before="240" w:after="120"/>
      </w:pPr>
      <w:bookmarkStart w:id="6612" w:name="section_sec7_3"/>
      <w:bookmarkEnd w:id="6612"/>
      <w:r>
        <w:rPr>
          <w:rFonts w:ascii="Arial" w:cs="Arial" w:eastAsia="Arial" w:hAnsi="Arial"/>
          <w:b/>
          <w:bCs/>
          <w:color w:val="2E75B6"/>
          <w:sz w:val="28"/>
          <w:szCs w:val="28"/>
        </w:rPr>
        <w:t xml:space="preserve">5.13 El Sistema de Parejas y Grupos — La Palanca Clave</w:t>
      </w:r>
    </w:p>
    <w:p>
      <w:pPr>
        <w:spacing w:before="60" w:after="120"/>
      </w:pPr>
      <w:r>
        <w:rPr>
          <w:rFonts w:ascii="Arial" w:cs="Arial" w:eastAsia="Arial" w:hAnsi="Arial"/>
          <w:sz w:val="24"/>
          <w:szCs w:val="24"/>
        </w:rPr>
        <w:t xml:space="preserve">Formar parejas o grupos es la acción individual de mayor impacto económico en TPT. Cuando dos usuarios compatibles comparten una franja de 40 minutos, los ingresos de esa franja se duplican sin que el coste salarial del terapeuta cambie. Con la misma jornada contratada, el centro genera más ingresos y el terapeuta cobra más. Es un juego de suma positiva para todas las partes — siempre que la agrupación sea terapéuticamente apropiada.</w:t>
      </w:r>
    </w:p>
    <w:p>
      <w:pPr>
        <w:spacing w:before="60" w:after="60"/>
      </w:pPr>
      <w:r>
        <w:rPr>
          <w:rFonts w:ascii="Arial" w:cs="Arial" w:eastAsia="Arial" w:hAnsi="Arial"/>
          <w:b/>
          <w:sz w:val="24"/>
          <w:szCs w:val="24"/>
        </w:rPr>
        <w:t xml:space="preserve">Quién identifica las compatibilidades. </w:t>
      </w:r>
      <w:r>
        <w:rPr>
          <w:rFonts w:ascii="Arial" w:cs="Arial" w:eastAsia="Arial" w:hAnsi="Arial"/>
          <w:sz w:val="24"/>
          <w:szCs w:val="24"/>
        </w:rPr>
        <w:t xml:space="preserve">Es responsabilidad de las coordinadoras revisar el triaje de los usuarios de cada terapeuta y detectar qué pares o grupos son compatibles por edad y necesidad terapéutica. Una vez identificada la compatibilidad, se propone al terapeuta y, si procede clínicamente, se reagrupa la agenda.</w:t>
      </w:r>
    </w:p>
    <w:p>
      <w:pPr>
        <w:spacing w:before="60" w:after="60"/>
      </w:pPr>
      <w:r>
        <w:rPr>
          <w:rFonts w:ascii="Arial" w:cs="Arial" w:eastAsia="Arial" w:hAnsi="Arial"/>
          <w:b/>
          <w:sz w:val="24"/>
          <w:szCs w:val="24"/>
        </w:rPr>
        <w:t xml:space="preserve">La condición obligatoria para acceder a los pluses. </w:t>
      </w:r>
      <w:r>
        <w:rPr>
          <w:rFonts w:ascii="Arial" w:cs="Arial" w:eastAsia="Arial" w:hAnsi="Arial"/>
          <w:sz w:val="24"/>
          <w:szCs w:val="24"/>
        </w:rPr>
        <w:t xml:space="preserve">Para poder cobrar los pluses de productividad, el terapeuta debe tener al menos una pareja activa, siempre que el triaje de sus usuarios lo permita. Si ningún usuario es compatible terapéuticamente con otro, la condición se exime — pero la Directora de TPT y el Director de Calidad supervisan y validan cada caso de exención. No es posible eludir la formación de parejas argumentando incompatibilidad sin una revisión explícita.</w:t>
      </w:r>
    </w:p>
    <w:p>
      <w:pPr>
        <w:spacing w:before="60" w:after="120"/>
      </w:pPr>
      <w:r>
        <w:rPr>
          <w:rFonts w:ascii="Arial" w:cs="Arial" w:eastAsia="Arial" w:hAnsi="Arial"/>
          <w:b/>
          <w:sz w:val="24"/>
          <w:szCs w:val="24"/>
        </w:rPr>
        <w:t xml:space="preserve">La lógica del incentivo. </w:t>
      </w:r>
      <w:r>
        <w:rPr>
          <w:rFonts w:ascii="Arial" w:cs="Arial" w:eastAsia="Arial" w:hAnsi="Arial"/>
          <w:sz w:val="24"/>
          <w:szCs w:val="24"/>
        </w:rPr>
        <w:t xml:space="preserve">Sin el plus, un terapeuta no tiene incentivo económico para gestionar la complejidad adicional que supone trabajar con dos usuarios en la misma sesión. Con el plus, la pregunta se invierte: cada pareja que forma le acerca a 30€ adicionales ese mes, y cada plaza extra por encima del 100% de ocupación se traduce directamente en más salario. El sistema convierte la optimización de la agenda — que antes era un objetivo exclusivo de la dirección — en un interés compartido del terapeuta.</w:t>
      </w:r>
    </w:p>
    <w:p>
      <w:pPr>
        <w:pStyle w:val="Heading2"/>
        <w:spacing w:before="240" w:after="120"/>
      </w:pPr>
      <w:bookmarkStart w:id="3079" w:name="section_sec7_4"/>
      <w:bookmarkEnd w:id="3079"/>
      <w:r>
        <w:rPr>
          <w:rFonts w:ascii="Arial" w:cs="Arial" w:eastAsia="Arial" w:hAnsi="Arial"/>
          <w:b/>
          <w:bCs/>
          <w:color w:val="2E75B6"/>
          <w:sz w:val="28"/>
          <w:szCs w:val="28"/>
        </w:rPr>
        <w:t xml:space="preserve">5.14 Registro de Asistencia e Incidencias en CRM</w:t>
      </w:r>
    </w:p>
    <w:p>
      <w:pPr>
        <w:spacing w:before="60" w:after="120"/>
      </w:pPr>
      <w:r>
        <w:rPr>
          <w:rFonts w:ascii="Arial" w:cs="Arial" w:eastAsia="Arial" w:hAnsi="Arial"/>
          <w:sz w:val="24"/>
          <w:szCs w:val="24"/>
        </w:rPr>
        <w:t xml:space="preserve">Cada terapeuta está obligado a registrar en MN Program la asistencia de cada sesión del día — si el usuario asistió, no asistió o si hubo alguna incidencia. Este registro es crítico por dos razones: es la base para calcular correctamente los pluses mensuales (una sesión no registrada puede distorsionar el cálculo de ocupación) y permite a las coordinadoras detectar patrones de incidencia que anticipen una posible baja de una familia, activando intervención preventiva antes de que se formalice.</w:t>
      </w:r>
    </w:p>
    <w:p>
      <w:pPr>
        <w:spacing w:before="60" w:after="120"/>
      </w:pPr>
      <w:r>
        <w:rPr>
          <w:rFonts w:ascii="Arial" w:cs="Arial" w:eastAsia="Arial" w:hAnsi="Arial"/>
          <w:sz w:val="24"/>
          <w:szCs w:val="24"/>
        </w:rPr>
        <w:t xml:space="preserve">El fichaje de inicio y fin de jornada también se realiza en MN Program. Si hay discrepancias horarias, el terapeuta comunica la corrección por correo a su coordinadora. La jornada partida (con comida) requiere marcar fin de jornada al salir y nuevo inicio al volver.</w:t>
      </w:r>
    </w:p>
    <w:p>
      <w:pPr>
        <w:pStyle w:val="Heading2"/>
        <w:spacing w:before="240" w:after="120"/>
      </w:pPr>
      <w:bookmarkStart w:id="163" w:name="section_sec7_5"/>
      <w:bookmarkEnd w:id="163"/>
      <w:r>
        <w:rPr>
          <w:rFonts w:ascii="Arial" w:cs="Arial" w:eastAsia="Arial" w:hAnsi="Arial"/>
          <w:b/>
          <w:bCs/>
          <w:color w:val="2E75B6"/>
          <w:sz w:val="28"/>
          <w:szCs w:val="28"/>
        </w:rPr>
        <w:t xml:space="preserve">5.15 Sistema de Recuperaciones (en construcción)</w:t>
      </w:r>
    </w:p>
    <w:p>
      <w:pPr>
        <w:spacing w:before="60" w:after="120"/>
      </w:pPr>
      <w:r>
        <w:rPr>
          <w:rFonts w:ascii="Arial" w:cs="Arial" w:eastAsia="Arial" w:hAnsi="Arial"/>
          <w:sz w:val="24"/>
          <w:szCs w:val="24"/>
        </w:rPr>
        <w:t xml:space="preserve">Cuando un terapeuta no puede realizar una sesión — por enfermedad, festivo u otra causa — la política de Pegasus es recuperar siempre que sea posible. Cada sesión no realizada es una pérdida directa de ingresos sin reducción paralela de costes salariales, por lo que la recuperación tiene impacto económico inmediato. A marzo de 2026, el sistema formal de recuperaciones está en proceso de implementación, con previsión de activarlo en el próximo mes. Mientras tanto, la gestión es caso a caso por parte de las coordinadoras.</w:t>
      </w:r>
    </w:p>
    <w:p>
      <w:pPr>
        <w:spacing w:before="60" w:after="120"/>
      </w:pPr>
      <w:r>
        <w:rPr>
          <w:rFonts w:ascii="Arial" w:cs="Arial" w:eastAsia="Arial" w:hAnsi="Arial"/>
          <w:color w:val="595959"/>
          <w:sz w:val="22"/>
          <w:szCs w:val="22"/>
          <w:i/>
        </w:rPr>
        <w:t xml:space="preserve">Nota: el tratamiento de sesiones no realizadas por falta del profesional en el cálculo de pluses está pendiente de definición definitiva. Por falta de usuario (el niño no asiste), la sesión sí cuenta para el plus. Por falta del profesional, el criterio está siendo trabajado durante el primer trimestre de 2026.</w:t>
      </w:r>
    </w:p>
    <w:p>
      <w:pPr>
        <w:pBdr>
          <w:top w:val="single" w:color="2E75B6" w:sz="4" w:space="4"/>
        </w:pBdr>
        <w:spacing w:before="360" w:after="120"/>
      </w:pPr>
      <w:r>
        <w:rPr>
          <w:rFonts w:ascii="Arial" w:cs="Arial" w:eastAsia="Arial" w:hAnsi="Arial"/>
          <w:b/>
          <w:bCs/>
          <w:color w:val="2E75B6"/>
          <w:sz w:val="22"/>
          <w:szCs w:val="22"/>
          <w:caps/>
        </w:rPr>
        <w:t xml:space="preserve">▌  MODELO ECONÓMICO</w:t>
      </w:r>
    </w:p>
    <w:p>
      <w:pPr>
        <w:pStyle w:val="Heading2"/>
        <w:spacing w:before="360" w:after="180"/>
      </w:pPr>
      <w:bookmarkStart w:id="6303" w:name="section_sec5_6"/>
      <w:bookmarkEnd w:id="6303"/>
      <w:r>
        <w:rPr>
          <w:rFonts w:ascii="Arial" w:cs="Arial" w:eastAsia="Arial" w:hAnsi="Arial"/>
          <w:b/>
          <w:bCs/>
          <w:color w:val="2E75B6"/>
          <w:sz w:val="28"/>
          <w:szCs w:val="28"/>
        </w:rPr>
        <w:t xml:space="preserve">5.16 Modelo de costes salariales en TPT</w:t>
      </w:r>
    </w:p>
    <w:p>
      <w:pPr>
        <w:spacing w:before="80" w:after="120"/>
        <w:jc w:val="both"/>
      </w:pPr>
      <w:r>
        <w:rPr>
          <w:rFonts w:ascii="Arial" w:cs="Arial" w:eastAsia="Arial" w:hAnsi="Arial"/>
          <w:sz w:val="22"/>
          <w:szCs w:val="22"/>
        </w:rPr>
        <w:t xml:space="preserve">Los terapeutas de TPT trabajan jornadas de 26 horas semanales como estándar. Coordinadores y perfiles con funciones de metodología pueden alcanzar jornadas de hasta 38,5h. Adicionalmente, todos los profesionales pueden acumular horas complementarias mensuales en función de la demanda del centro. Los salarios en Pegasus se sitúan por encima del convenio colectivo (Grupo 2 / Nivel 2). Las horas anuales de referencia para el cálculo del coste hora son 1.720h, según convenio confirmado por asesoría.</w:t>
      </w:r>
    </w:p>
    <w:p>
      <w:pPr>
        <w:spacing w:before="120" w:after="120"/>
      </w:pPr>
      <w:r>
        <w:t xml:space="preserve"/>
      </w:r>
    </w:p>
    <w:p>
      <w:r>
        <w:rPr>
          <w:rFonts w:ascii="Arial" w:cs="Arial" w:eastAsia="Arial" w:hAnsi="Arial"/>
          <w:b/>
          <w:bCs/>
          <w:color w:val="FFFFFF"/>
          <w:sz w:val="20"/>
          <w:szCs w:val="20"/>
        </w:rPr>
        <w:t xml:space="preserve">Perfil</w:t>
      </w:r>
    </w:p>
    <w:p>
      <w:r>
        <w:rPr>
          <w:rFonts w:ascii="Arial" w:cs="Arial" w:eastAsia="Arial" w:hAnsi="Arial"/>
          <w:b/>
          <w:bCs/>
          <w:color w:val="FFFFFF"/>
          <w:sz w:val="20"/>
          <w:szCs w:val="20"/>
        </w:rPr>
        <w:t xml:space="preserve">Jornada</w:t>
      </w:r>
    </w:p>
    <w:p>
      <w:r>
        <w:rPr>
          <w:rFonts w:ascii="Arial" w:cs="Arial" w:eastAsia="Arial" w:hAnsi="Arial"/>
          <w:b/>
          <w:bCs/>
          <w:color w:val="FFFFFF"/>
          <w:sz w:val="20"/>
          <w:szCs w:val="20"/>
        </w:rPr>
        <w:t xml:space="preserve">Bruto base mensual</w:t>
      </w:r>
    </w:p>
    <w:p>
      <w:r>
        <w:rPr>
          <w:rFonts w:ascii="Arial" w:cs="Arial" w:eastAsia="Arial" w:hAnsi="Arial"/>
          <w:b/>
          <w:bCs/>
          <w:color w:val="FFFFFF"/>
          <w:sz w:val="20"/>
          <w:szCs w:val="20"/>
        </w:rPr>
        <w:t xml:space="preserve">Plus Pegasus</w:t>
      </w:r>
    </w:p>
    <w:p>
      <w:r>
        <w:rPr>
          <w:rFonts w:ascii="Arial" w:cs="Arial" w:eastAsia="Arial" w:hAnsi="Arial"/>
          <w:b/>
          <w:bCs/>
          <w:color w:val="FFFFFF"/>
          <w:sz w:val="20"/>
          <w:szCs w:val="20"/>
        </w:rPr>
        <w:t xml:space="preserve">Coste empresa/mes</w:t>
      </w:r>
    </w:p>
    <w:p>
      <w:r>
        <w:rPr>
          <w:rFonts w:ascii="Arial" w:cs="Arial" w:eastAsia="Arial" w:hAnsi="Arial"/>
          <w:b/>
          <w:bCs/>
          <w:color w:val="FFFFFF"/>
          <w:sz w:val="20"/>
          <w:szCs w:val="20"/>
        </w:rPr>
        <w:t xml:space="preserve">Bruto hora Pegasus</w:t>
      </w:r>
    </w:p>
    <w:p>
      <w:r>
        <w:rPr>
          <w:rFonts w:ascii="Arial" w:cs="Arial" w:eastAsia="Arial" w:hAnsi="Arial"/>
          <w:b/>
          <w:bCs/>
          <w:color w:val="FFFFFF"/>
          <w:sz w:val="20"/>
          <w:szCs w:val="20"/>
        </w:rPr>
        <w:t xml:space="preserve">Coste hora empresa</w:t>
      </w:r>
    </w:p>
    <w:p>
      <w:r>
        <w:rPr>
          <w:rFonts w:ascii="Arial" w:cs="Arial" w:eastAsia="Arial" w:hAnsi="Arial"/>
          <w:b w:val="false"/>
          <w:bCs w:val="false"/>
          <w:color w:val="1A1A1A"/>
          <w:sz w:val="20"/>
          <w:szCs w:val="20"/>
        </w:rPr>
        <w:t xml:space="preserve">Terapeuta estándar</w:t>
      </w:r>
    </w:p>
    <w:p>
      <w:r>
        <w:rPr>
          <w:rFonts w:ascii="Arial" w:cs="Arial" w:eastAsia="Arial" w:hAnsi="Arial"/>
          <w:b w:val="false"/>
          <w:bCs w:val="false"/>
          <w:color w:val="1A1A1A"/>
          <w:sz w:val="20"/>
          <w:szCs w:val="20"/>
        </w:rPr>
        <w:t xml:space="preserve">26h/semana</w:t>
      </w:r>
    </w:p>
    <w:p>
      <w:r>
        <w:rPr>
          <w:rFonts w:ascii="Arial" w:cs="Arial" w:eastAsia="Arial" w:hAnsi="Arial"/>
          <w:b w:val="false"/>
          <w:bCs w:val="false"/>
          <w:color w:val="1A1A1A"/>
          <w:sz w:val="20"/>
          <w:szCs w:val="20"/>
        </w:rPr>
        <w:t xml:space="preserve">1.213,83 €</w:t>
      </w:r>
    </w:p>
    <w:p>
      <w:r>
        <w:rPr>
          <w:rFonts w:ascii="Arial" w:cs="Arial" w:eastAsia="Arial" w:hAnsi="Arial"/>
          <w:b w:val="false"/>
          <w:bCs w:val="false"/>
          <w:color w:val="1A1A1A"/>
          <w:sz w:val="20"/>
          <w:szCs w:val="20"/>
        </w:rPr>
        <w:t xml:space="preserve">186,17 €</w:t>
      </w:r>
    </w:p>
    <w:p>
      <w:r>
        <w:rPr>
          <w:rFonts w:ascii="Arial" w:cs="Arial" w:eastAsia="Arial" w:hAnsi="Arial"/>
          <w:b w:val="false"/>
          <w:bCs w:val="false"/>
          <w:color w:val="1A1A1A"/>
          <w:sz w:val="20"/>
          <w:szCs w:val="20"/>
        </w:rPr>
        <w:t xml:space="preserve">1.848,00 €</w:t>
      </w:r>
    </w:p>
    <w:p>
      <w:r>
        <w:rPr>
          <w:rFonts w:ascii="Arial" w:cs="Arial" w:eastAsia="Arial" w:hAnsi="Arial"/>
          <w:b w:val="false"/>
          <w:bCs w:val="false"/>
          <w:color w:val="1A1A1A"/>
          <w:sz w:val="20"/>
          <w:szCs w:val="20"/>
        </w:rPr>
        <w:t xml:space="preserve">13,78 €</w:t>
      </w:r>
    </w:p>
    <w:p>
      <w:r>
        <w:rPr>
          <w:rFonts w:ascii="Arial" w:cs="Arial" w:eastAsia="Arial" w:hAnsi="Arial"/>
          <w:b w:val="false"/>
          <w:bCs w:val="false"/>
          <w:color w:val="1A1A1A"/>
          <w:sz w:val="20"/>
          <w:szCs w:val="20"/>
        </w:rPr>
        <w:t xml:space="preserve">18,19 €</w:t>
      </w:r>
    </w:p>
    <w:p>
      <w:r>
        <w:rPr>
          <w:rFonts w:ascii="Arial" w:cs="Arial" w:eastAsia="Arial" w:hAnsi="Arial"/>
          <w:b w:val="false"/>
          <w:bCs w:val="false"/>
          <w:color w:val="1A1A1A"/>
          <w:sz w:val="20"/>
          <w:szCs w:val="20"/>
        </w:rPr>
        <w:t xml:space="preserve">Terapeuta jornada completa</w:t>
      </w:r>
    </w:p>
    <w:p>
      <w:r>
        <w:rPr>
          <w:rFonts w:ascii="Arial" w:cs="Arial" w:eastAsia="Arial" w:hAnsi="Arial"/>
          <w:b w:val="false"/>
          <w:bCs w:val="false"/>
          <w:color w:val="1A1A1A"/>
          <w:sz w:val="20"/>
          <w:szCs w:val="20"/>
        </w:rPr>
        <w:t xml:space="preserve">38,5h/semana</w:t>
      </w:r>
    </w:p>
    <w:p>
      <w:r>
        <w:rPr>
          <w:rFonts w:ascii="Arial" w:cs="Arial" w:eastAsia="Arial" w:hAnsi="Arial"/>
          <w:b w:val="false"/>
          <w:bCs w:val="false"/>
          <w:color w:val="1A1A1A"/>
          <w:sz w:val="20"/>
          <w:szCs w:val="20"/>
        </w:rPr>
        <w:t xml:space="preserve">1.797,40 €</w:t>
      </w:r>
    </w:p>
    <w:p>
      <w:r>
        <w:rPr>
          <w:rFonts w:ascii="Arial" w:cs="Arial" w:eastAsia="Arial" w:hAnsi="Arial"/>
          <w:b w:val="false"/>
          <w:bCs w:val="false"/>
          <w:color w:val="1A1A1A"/>
          <w:sz w:val="20"/>
          <w:szCs w:val="20"/>
        </w:rPr>
        <w:t xml:space="preserve">186,17 €</w:t>
      </w:r>
    </w:p>
    <w:p>
      <w:r>
        <w:rPr>
          <w:rFonts w:ascii="Arial" w:cs="Arial" w:eastAsia="Arial" w:hAnsi="Arial"/>
          <w:b w:val="false"/>
          <w:bCs w:val="false"/>
          <w:color w:val="1A1A1A"/>
          <w:sz w:val="20"/>
          <w:szCs w:val="20"/>
        </w:rPr>
        <w:t xml:space="preserve">2.618,32 €</w:t>
      </w:r>
    </w:p>
    <w:p>
      <w:r>
        <w:rPr>
          <w:rFonts w:ascii="Arial" w:cs="Arial" w:eastAsia="Arial" w:hAnsi="Arial"/>
          <w:b w:val="false"/>
          <w:bCs w:val="false"/>
          <w:color w:val="1A1A1A"/>
          <w:sz w:val="20"/>
          <w:szCs w:val="20"/>
        </w:rPr>
        <w:t xml:space="preserve">13,78 €</w:t>
      </w:r>
    </w:p>
    <w:p>
      <w:r>
        <w:rPr>
          <w:rFonts w:ascii="Arial" w:cs="Arial" w:eastAsia="Arial" w:hAnsi="Arial"/>
          <w:b w:val="false"/>
          <w:bCs w:val="false"/>
          <w:color w:val="1A1A1A"/>
          <w:sz w:val="20"/>
          <w:szCs w:val="20"/>
        </w:rPr>
        <w:t xml:space="preserve">18,19 €</w:t>
      </w:r>
    </w:p>
    <w:p>
      <w:r>
        <w:rPr>
          <w:rFonts w:ascii="Arial" w:cs="Arial" w:eastAsia="Arial" w:hAnsi="Arial"/>
          <w:b w:val="false"/>
          <w:bCs w:val="false"/>
          <w:color w:val="1A1A1A"/>
          <w:sz w:val="20"/>
          <w:szCs w:val="20"/>
        </w:rPr>
        <w:t xml:space="preserve">Coordinador</w:t>
      </w:r>
    </w:p>
    <w:p>
      <w:r>
        <w:rPr>
          <w:rFonts w:ascii="Arial" w:cs="Arial" w:eastAsia="Arial" w:hAnsi="Arial"/>
          <w:b w:val="false"/>
          <w:bCs w:val="false"/>
          <w:color w:val="1A1A1A"/>
          <w:sz w:val="20"/>
          <w:szCs w:val="20"/>
        </w:rPr>
        <w:t xml:space="preserve">38,5h/semana</w:t>
      </w:r>
    </w:p>
    <w:p>
      <w:r>
        <w:rPr>
          <w:rFonts w:ascii="Arial" w:cs="Arial" w:eastAsia="Arial" w:hAnsi="Arial"/>
          <w:b w:val="false"/>
          <w:bCs w:val="false"/>
          <w:color w:val="1A1A1A"/>
          <w:sz w:val="20"/>
          <w:szCs w:val="20"/>
        </w:rPr>
        <w:t xml:space="preserve">1.797,40 €</w:t>
      </w:r>
    </w:p>
    <w:p>
      <w:r>
        <w:rPr>
          <w:rFonts w:ascii="Arial" w:cs="Arial" w:eastAsia="Arial" w:hAnsi="Arial"/>
          <w:b w:val="false"/>
          <w:bCs w:val="false"/>
          <w:color w:val="1A1A1A"/>
          <w:sz w:val="20"/>
          <w:szCs w:val="20"/>
        </w:rPr>
        <w:t xml:space="preserve">361,17 € (186,17 + 175 coordinación)</w:t>
      </w:r>
    </w:p>
    <w:p>
      <w:r>
        <w:rPr>
          <w:rFonts w:ascii="Arial" w:cs="Arial" w:eastAsia="Arial" w:hAnsi="Arial"/>
          <w:b w:val="false"/>
          <w:bCs w:val="false"/>
          <w:color w:val="1A1A1A"/>
          <w:sz w:val="20"/>
          <w:szCs w:val="20"/>
        </w:rPr>
        <w:t xml:space="preserve">2.849,31 €</w:t>
      </w:r>
    </w:p>
    <w:p>
      <w:r>
        <w:rPr>
          <w:rFonts w:ascii="Arial" w:cs="Arial" w:eastAsia="Arial" w:hAnsi="Arial"/>
          <w:b w:val="false"/>
          <w:bCs w:val="false"/>
          <w:color w:val="1A1A1A"/>
          <w:sz w:val="20"/>
          <w:szCs w:val="20"/>
        </w:rPr>
        <w:t xml:space="preserve">16,35 €</w:t>
      </w:r>
    </w:p>
    <w:p>
      <w:r>
        <w:rPr>
          <w:rFonts w:ascii="Arial" w:cs="Arial" w:eastAsia="Arial" w:hAnsi="Arial"/>
          <w:b w:val="false"/>
          <w:bCs w:val="false"/>
          <w:color w:val="1A1A1A"/>
          <w:sz w:val="20"/>
          <w:szCs w:val="20"/>
        </w:rPr>
        <w:t xml:space="preserve">21,58 €</w:t>
      </w:r>
    </w:p>
    <w:p>
      <w:r>
        <w:rPr>
          <w:rFonts w:ascii="Arial" w:cs="Arial" w:eastAsia="Arial" w:hAnsi="Arial"/>
          <w:b w:val="false"/>
          <w:bCs w:val="false"/>
          <w:color w:val="1A1A1A"/>
          <w:sz w:val="20"/>
          <w:szCs w:val="20"/>
        </w:rPr>
        <w:t xml:space="preserve">Director</w:t>
      </w:r>
    </w:p>
    <w:p>
      <w:r>
        <w:rPr>
          <w:rFonts w:ascii="Arial" w:cs="Arial" w:eastAsia="Arial" w:hAnsi="Arial"/>
          <w:b w:val="false"/>
          <w:bCs w:val="false"/>
          <w:color w:val="1A1A1A"/>
          <w:sz w:val="20"/>
          <w:szCs w:val="20"/>
        </w:rPr>
        <w:t xml:space="preserve">38,5h/semana</w:t>
      </w:r>
    </w:p>
    <w:p>
      <w:r>
        <w:rPr>
          <w:rFonts w:ascii="Arial" w:cs="Arial" w:eastAsia="Arial" w:hAnsi="Arial"/>
          <w:b w:val="false"/>
          <w:bCs w:val="false"/>
          <w:color w:val="1A1A1A"/>
          <w:sz w:val="20"/>
          <w:szCs w:val="20"/>
        </w:rPr>
        <w:t xml:space="preserve">1.797,40 €</w:t>
      </w:r>
    </w:p>
    <w:p>
      <w:r>
        <w:rPr>
          <w:rFonts w:ascii="Arial" w:cs="Arial" w:eastAsia="Arial" w:hAnsi="Arial"/>
          <w:b w:val="false"/>
          <w:bCs w:val="false"/>
          <w:color w:val="1A1A1A"/>
          <w:sz w:val="20"/>
          <w:szCs w:val="20"/>
        </w:rPr>
        <w:t xml:space="preserve">436,17 € (186,17 + 250 dirección)</w:t>
      </w:r>
    </w:p>
    <w:p>
      <w:r>
        <w:rPr>
          <w:rFonts w:ascii="Arial" w:cs="Arial" w:eastAsia="Arial" w:hAnsi="Arial"/>
          <w:b w:val="false"/>
          <w:bCs w:val="false"/>
          <w:color w:val="1A1A1A"/>
          <w:sz w:val="20"/>
          <w:szCs w:val="20"/>
        </w:rPr>
        <w:t xml:space="preserve">2.948,31 €</w:t>
      </w:r>
    </w:p>
    <w:p>
      <w:r>
        <w:rPr>
          <w:rFonts w:ascii="Arial" w:cs="Arial" w:eastAsia="Arial" w:hAnsi="Arial"/>
          <w:b w:val="false"/>
          <w:bCs w:val="false"/>
          <w:color w:val="1A1A1A"/>
          <w:sz w:val="20"/>
          <w:szCs w:val="20"/>
        </w:rPr>
        <w:t xml:space="preserve">16,87 €</w:t>
      </w:r>
    </w:p>
    <w:p>
      <w:r>
        <w:rPr>
          <w:rFonts w:ascii="Arial" w:cs="Arial" w:eastAsia="Arial" w:hAnsi="Arial"/>
          <w:b w:val="false"/>
          <w:bCs w:val="false"/>
          <w:color w:val="1A1A1A"/>
          <w:sz w:val="20"/>
          <w:szCs w:val="20"/>
        </w:rPr>
        <w:t xml:space="preserve">22,27 €</w:t>
      </w:r>
    </w:p>
    <w:p>
      <w:pPr>
        <w:spacing w:before="120" w:after="120"/>
      </w:pPr>
      <w:r>
        <w:t xml:space="preserve"/>
      </w:r>
    </w:p>
    <w:p>
      <w:pPr>
        <w:spacing w:before="80" w:after="120"/>
        <w:jc w:val="both"/>
      </w:pPr>
      <w:r>
        <w:rPr>
          <w:rFonts w:ascii="Arial" w:cs="Arial" w:eastAsia="Arial" w:hAnsi="Arial"/>
          <w:sz w:val="22"/>
          <w:szCs w:val="22"/>
        </w:rPr>
        <w:t xml:space="preserve">Notas sobre los pluses: el plus Pegasus base (186,17€) aplica a todos los perfiles. El plus de coordinación (175€) aplica a coordinadores de zona. El plus de dirección (250€) aplica al director. El plus de capacitación (163,64€) aplica según nivel de cualificación. Todos los pluses cotizan a Seguridad Social (x1,32). El bruto hora y coste hora se calculan sobre 1.720 horas anuales según convenio (÷12 = 143,33 h/mes).</w:t>
      </w:r>
    </w:p>
    <w:p>
      <w:pPr>
        <w:pStyle w:val="Heading2"/>
        <w:spacing w:before="360" w:after="180"/>
      </w:pPr>
      <w:bookmarkStart w:id="368" w:name="section_sec5_7"/>
      <w:bookmarkEnd w:id="368"/>
      <w:r>
        <w:rPr>
          <w:rFonts w:ascii="Arial" w:cs="Arial" w:eastAsia="Arial" w:hAnsi="Arial"/>
          <w:b/>
          <w:bCs/>
          <w:color w:val="2E75B6"/>
          <w:sz w:val="28"/>
          <w:szCs w:val="28"/>
        </w:rPr>
        <w:t xml:space="preserve">5.17 Punto de break-even de TPT</w:t>
      </w:r>
    </w:p>
    <w:p>
      <w:pPr>
        <w:spacing w:before="80" w:after="120"/>
        <w:jc w:val="both"/>
      </w:pPr>
      <w:r>
        <w:rPr>
          <w:rFonts w:ascii="Arial" w:cs="Arial" w:eastAsia="Arial" w:hAnsi="Arial"/>
          <w:sz w:val="22"/>
          <w:szCs w:val="22"/>
        </w:rPr>
        <w:t xml:space="preserve">Con la estructura actual de 23 terapeutas, 2 coordinadores y 1 director, el coste mensual total de personal en TPT es aproximadamente 51.960€. Para cubrir ese coste con ingresos de terapias se necesita una ocupación aproximada del 73% de las plazas disponibles.</w:t>
      </w:r>
    </w:p>
    <w:p>
      <w:pPr>
        <w:spacing w:before="120" w:after="120"/>
      </w:pPr>
      <w:r>
        <w:t xml:space="preserve"/>
      </w:r>
    </w:p>
    <w:p>
      <w:pPr>
        <w:spacing w:before="80" w:after="120"/>
        <w:jc w:val="both"/>
      </w:pPr>
      <w:r>
        <w:rPr>
          <w:rFonts w:ascii="Arial" w:cs="Arial" w:eastAsia="Arial" w:hAnsi="Arial"/>
          <w:sz w:val="22"/>
          <w:szCs w:val="22"/>
        </w:rPr>
        <w:t xml:space="preserve">La ocupación actual es del 65%, situando TPT ligeramente por debajo del break-even cuando se incluyen los costes completos de coordinación y dirección. Sin esos costes intermedios, el punto de equilibrio está entre el 60-65% de ocupación.</w:t>
      </w:r>
    </w:p>
    <w:p>
      <w:pPr>
        <w:spacing w:before="120" w:after="120"/>
      </w:pPr>
      <w:r>
        <w:t xml:space="preserve"/>
      </w:r>
    </w:p>
    <w:p>
      <w:pPr>
        <w:spacing w:before="80" w:after="120"/>
        <w:jc w:val="both"/>
      </w:pPr>
      <w:r>
        <w:rPr>
          <w:rFonts w:ascii="Arial" w:cs="Arial" w:eastAsia="Arial" w:hAnsi="Arial"/>
          <w:sz w:val="22"/>
          <w:szCs w:val="22"/>
        </w:rPr>
        <w:t xml:space="preserve">La palanca más potente de rentabilidad de TPT es la ocupación: las 250 plazas disponibles con personal ya contratado representan un potencial de 287.592€ anuales adicionales sin coste marginal de estructura.</w:t>
      </w:r>
    </w:p>
    <w:p>
      <w:pPr>
        <w:pStyle w:val="Heading2"/>
        <w:spacing w:before="240" w:after="120"/>
      </w:pPr>
      <w:r>
        <w:rPr>
          <w:rFonts w:ascii="Arial" w:cs="Arial" w:eastAsia="Arial" w:hAnsi="Arial"/>
          <w:b/>
          <w:bCs/>
          <w:color w:val="2E75B6"/>
          <w:sz w:val="28"/>
          <w:szCs w:val="28"/>
        </w:rPr>
        <w:t xml:space="preserve">5.18 Captación y Gestión de Profesionales</w:t>
      </w:r>
    </w:p>
    <w:p>
      <w:pPr>
        <w:spacing w:before="60" w:after="120"/>
      </w:pPr>
      <w:r>
        <w:rPr>
          <w:rFonts w:ascii="Arial" w:cs="Arial" w:eastAsia="Arial" w:hAnsi="Arial"/>
          <w:sz w:val="24"/>
          <w:szCs w:val="24"/>
        </w:rPr>
        <w:t xml:space="preserve">La capacidad de atraer y retener profesionales terapéuticos es una de las restricciones operativas más críticas de Pegasus. Sin terapeutas no hay servicio, y sin servicio no hay ingresos. A diferencia de otros cuellos de botella —como la captación de familias o la ocupación de plazas—, éste tiene una componente estructural de mercado que la organización no puede resolver solo con mejoras internas.</w:t>
      </w:r>
    </w:p>
    <w:p>
      <w:pPr>
        <w:spacing w:before="60" w:after="60"/>
      </w:pPr>
      <w:r>
        <w:rPr>
          <w:rFonts w:ascii="Arial" w:cs="Arial" w:eastAsia="Arial" w:hAnsi="Arial"/>
          <w:b/>
          <w:sz w:val="24"/>
          <w:szCs w:val="24"/>
        </w:rPr>
        <w:t xml:space="preserve">Detección de la necesidad. </w:t>
      </w:r>
      <w:r>
        <w:rPr>
          <w:rFonts w:ascii="Arial" w:cs="Arial" w:eastAsia="Arial" w:hAnsi="Arial"/>
          <w:sz w:val="24"/>
          <w:szCs w:val="24"/>
        </w:rPr>
        <w:t xml:space="preserve">El proceso siempre arranca desde el área de servicios —TPT o IS— cuando se identifica una necesidad: un centro con plazas sin cubrir, una baja no sustituida, o la apertura de un nuevo municipio. La necesidad se comunica internamente y se activa el proceso de búsqueda.</w:t>
      </w:r>
    </w:p>
    <w:p>
      <w:pPr>
        <w:spacing w:before="60" w:after="60"/>
      </w:pPr>
      <w:r>
        <w:rPr>
          <w:rFonts w:ascii="Arial" w:cs="Arial" w:eastAsia="Arial" w:hAnsi="Arial"/>
          <w:b/>
          <w:sz w:val="24"/>
          <w:szCs w:val="24"/>
        </w:rPr>
        <w:t xml:space="preserve">Canales de captación. </w:t>
      </w:r>
      <w:r>
        <w:rPr>
          <w:rFonts w:ascii="Arial" w:cs="Arial" w:eastAsia="Arial" w:hAnsi="Arial"/>
          <w:sz w:val="24"/>
          <w:szCs w:val="24"/>
        </w:rPr>
        <w:t xml:space="preserve">La oferta se publica en portales de empleo y se difunde a través de las redes sociales de la fundación y de David Rodríguez. En la práctica, LinkedIn es el canal que más acaba funcionando, aunque con fricción considerable en función del perfil. El perfil de mayor escasez en el mercado es logopedia —hay muy pocos profesionales disponibles—, lo que obliga frecuentemente a contratar a quien está disponible aunque el encaje geográfico no sea óptimo.</w:t>
      </w:r>
    </w:p>
    <w:p>
      <w:pPr>
        <w:spacing w:before="60" w:after="60"/>
      </w:pPr>
      <w:r>
        <w:rPr>
          <w:rFonts w:ascii="Arial" w:cs="Arial" w:eastAsia="Arial" w:hAnsi="Arial"/>
          <w:b/>
          <w:sz w:val="24"/>
          <w:szCs w:val="24"/>
        </w:rPr>
        <w:t xml:space="preserve">Volumen de candidatos: un cuello de botella real. </w:t>
      </w:r>
      <w:r>
        <w:rPr>
          <w:rFonts w:ascii="Arial" w:cs="Arial" w:eastAsia="Arial" w:hAnsi="Arial"/>
          <w:sz w:val="24"/>
          <w:szCs w:val="24"/>
        </w:rPr>
        <w:t xml:space="preserve">El número de aplicaciones recibidas es bajo. Esto limita el margen de selección y hace que el proceso sea menos exigente de lo que sería deseable. En la práctica, se contrata prácticamente a quien aplica si cumple los requisitos mínimos, lo que genera encajes imperfectos —sobre todo geográficos— que se convierten en riesgo de rotación posterior.</w:t>
      </w:r>
    </w:p>
    <w:p>
      <w:pPr>
        <w:spacing w:before="60" w:after="60"/>
      </w:pPr>
      <w:r>
        <w:rPr>
          <w:rFonts w:ascii="Arial" w:cs="Arial" w:eastAsia="Arial" w:hAnsi="Arial"/>
          <w:b/>
          <w:sz w:val="24"/>
          <w:szCs w:val="24"/>
        </w:rPr>
        <w:t xml:space="preserve">Filtro inicial: tres preguntas. </w:t>
      </w:r>
      <w:r>
        <w:rPr>
          <w:rFonts w:ascii="Arial" w:cs="Arial" w:eastAsia="Arial" w:hAnsi="Arial"/>
          <w:sz w:val="24"/>
          <w:szCs w:val="24"/>
        </w:rPr>
        <w:t xml:space="preserve">Antes de avanzar, se verifica: ¿tienes coche? ¿puedes conducir? ¿tienes la titulación habilitante para el puesto? La dispersión geográfica de los centros hace que la movilidad sea un requisito no negociable en la mayoría de perfiles.</w:t>
      </w:r>
    </w:p>
    <w:p>
      <w:pPr>
        <w:spacing w:before="60" w:after="60"/>
      </w:pPr>
      <w:r>
        <w:rPr>
          <w:rFonts w:ascii="Arial" w:cs="Arial" w:eastAsia="Arial" w:hAnsi="Arial"/>
          <w:b/>
          <w:sz w:val="24"/>
          <w:szCs w:val="24"/>
        </w:rPr>
        <w:t xml:space="preserve">Proceso de selección en tres fases. </w:t>
      </w:r>
      <w:r>
        <w:rPr>
          <w:rFonts w:ascii="Arial" w:cs="Arial" w:eastAsia="Arial" w:hAnsi="Arial"/>
          <w:sz w:val="24"/>
          <w:szCs w:val="24"/>
        </w:rPr>
        <w:t xml:space="preserve">La primera es una llamada logística donde se alinean salario, ubicación y horarios —si hay incompatibilidad en este nivel, no tiene sentido continuar—. La segunda es una entrevista con el Director Técnico (Rober), centrada en la evaluación del alineamiento con la filosofía y cultura de Pegasus: se busca que el profesional entienda y comparta el enfoque de no normalizar, trabajar desde el bienestar emocional y usar el juego y el humor como herramienta terapéutica. La tercera es una sesión práctica en el entorno real de trabajo: en la piscina o en multideporte para IS, en el centro terapéutico para TPT.</w:t>
      </w:r>
    </w:p>
    <w:p>
      <w:pPr>
        <w:spacing w:before="60" w:after="60"/>
      </w:pPr>
      <w:r>
        <w:rPr>
          <w:rFonts w:ascii="Arial" w:cs="Arial" w:eastAsia="Arial" w:hAnsi="Arial"/>
          <w:b/>
          <w:sz w:val="24"/>
          <w:szCs w:val="24"/>
        </w:rPr>
        <w:t xml:space="preserve">El problema del argumentario de venta. </w:t>
      </w:r>
      <w:r>
        <w:rPr>
          <w:rFonts w:ascii="Arial" w:cs="Arial" w:eastAsia="Arial" w:hAnsi="Arial"/>
          <w:sz w:val="24"/>
          <w:szCs w:val="24"/>
        </w:rPr>
        <w:t xml:space="preserve">Pegasus no puede competir en salario con clínicas o colegios que ofrezcan jornada completa. El contrato estándar es de 26 horas semanales, con un salario que supera el convenio colectivo —incluyendo un plus mensual de aproximadamente 200€—, pero que no permite vivir únicamente de este trabajo para la mayoría de perfiles. El argumento diferenciador es el proyecto: una organización con filosofía propia, metodología no convencional y un impacto real en el bienestar de los usuarios. Para perfiles que valoran eso por encima del salario, Pegasus es una opción genuinamente atractiva. Para el resto, siempre perderá ante una jornada completa.</w:t>
      </w:r>
    </w:p>
    <w:p>
      <w:pPr>
        <w:spacing w:before="60" w:after="60"/>
      </w:pPr>
      <w:r>
        <w:rPr>
          <w:rFonts w:ascii="Arial" w:cs="Arial" w:eastAsia="Arial" w:hAnsi="Arial"/>
          <w:b/>
          <w:sz w:val="24"/>
          <w:szCs w:val="24"/>
        </w:rPr>
        <w:t xml:space="preserve">Rotación: causas y naturaleza. </w:t>
      </w:r>
      <w:r>
        <w:rPr>
          <w:rFonts w:ascii="Arial" w:cs="Arial" w:eastAsia="Arial" w:hAnsi="Arial"/>
          <w:sz w:val="24"/>
          <w:szCs w:val="24"/>
        </w:rPr>
        <w:t xml:space="preserve">La rotación es uno de los riesgos operativos más preocupantes y tiene dos causas principales. La primera es la aparición de una oferta de jornada completa: cuando un terapeuta encuentra un puesto que le permite vivir solo de su profesión, la decisión económica es obvia independientemente del vínculo con el proyecto. La segunda —y quizá más estructural— es la dispersión geográfica. Cuando no hay candidatos en un municipio concreto, se contrata a alguien que vive lejos asumiendo que es la única opción disponible. Ese terapeuta, en cuanto aparece algo más cercano a su domicilio, se va. No es deslealtad ni insatisfacción con el proyecto: es una decisión racional de minimizar desplazamientos. La rotación por cultura interna existe pero es el factor menos frecuente.</w:t>
      </w:r>
    </w:p>
    <w:p>
      <w:pPr>
        <w:spacing w:before="60" w:after="120"/>
      </w:pPr>
      <w:r>
        <w:rPr>
          <w:rFonts w:ascii="Arial" w:cs="Arial" w:eastAsia="Arial" w:hAnsi="Arial"/>
          <w:b/>
          <w:sz w:val="24"/>
          <w:szCs w:val="24"/>
        </w:rPr>
        <w:t xml:space="preserve">Perfil del terapeuta que se queda. </w:t>
      </w:r>
      <w:r>
        <w:rPr>
          <w:rFonts w:ascii="Arial" w:cs="Arial" w:eastAsia="Arial" w:hAnsi="Arial"/>
          <w:sz w:val="24"/>
          <w:szCs w:val="24"/>
        </w:rPr>
        <w:t xml:space="preserve">Los terapeutas con mayor antigüedad en Pegasus responden a dos perfiles: los que han conseguido acumular suficientes horas dentro de la propia organización como para tener una jornada más amplia y un salario que cubre sus necesidades, y los que por circunstancias personales no necesitan un salario completo y valoran la flexibilidad, la cercanía geográfica o el tipo de trabajo. En ambos casos, la permanencia no depende solo del compromiso con el proyecto sino de que la ecuación económica y personal cuadre. Esto explica por qué el sistema de pluses de productividad tiene un impacto más allá del incentivo inmediato: un terapeuta que consigue subir sus ingresos dentro de Pegasus vía parejas y grupos tiene menos necesidad de buscar fuera.</w:t>
      </w:r>
    </w:p>
    <w:p>
      <w:pPr>
        <w:spacing w:before="60" w:after="120"/>
      </w:pPr>
      <w:r>
        <w:rPr>
          <w:rFonts w:ascii="Arial" w:cs="Arial" w:eastAsia="Arial" w:hAnsi="Arial"/>
          <w:color w:val="595959"/>
          <w:sz w:val="22"/>
          <w:szCs w:val="22"/>
          <w:i/>
        </w:rPr>
        <w:t xml:space="preserve">Nota estratégica: la rotación tiene un coste directo e indirecto. El directo es el tiempo de sustitución —semanas sin terapeuta en un centro son semanas sin ingresos en esas plazas—. El indirecto es el impacto en las familias: cada cambio de terapeuta genera fricción, y en algunos casos precipita una baja. El sistema de pluses que incentiva la formación de parejas y grupos no solo mejora la rentabilidad inmediata: también es la herramienta más eficaz de retención disponible, porque permite al terapeuta aumentar sus ingresos dentro de Pegasus sin necesidad de buscar complementos fuera.</w:t>
      </w:r>
    </w:p>
    <w:p>
      <w:pPr>
        <w:pStyle w:val="Heading1"/>
        <w:pBdr>
          <w:bottom w:val="single" w:color="2E75B6" w:sz="8" w:space="4"/>
        </w:pBdr>
        <w:spacing w:before="480" w:after="240"/>
      </w:pPr>
      <w:bookmarkStart w:id="9316" w:name="chapter_ch8"/>
      <w:bookmarkEnd w:id="9316"/>
      <w:r>
        <w:rPr>
          <w:rFonts w:ascii="Arial" w:cs="Arial" w:eastAsia="Arial" w:hAnsi="Arial"/>
          <w:b/>
          <w:bCs/>
          <w:color w:val="1F3864"/>
          <w:sz w:val="36"/>
          <w:szCs w:val="36"/>
        </w:rPr>
        <w:t xml:space="preserve">6. INCLUSIVE SPORT (IS)</w:t>
      </w:r>
    </w:p>
    <w:p>
      <w:pPr>
        <w:pStyle w:val="Heading2"/>
        <w:spacing w:before="360" w:after="180"/>
      </w:pPr>
      <w:bookmarkStart w:id="9583" w:name="section_sec8_1"/>
      <w:bookmarkEnd w:id="9583"/>
      <w:r>
        <w:rPr>
          <w:rFonts w:ascii="Arial" w:cs="Arial" w:eastAsia="Arial" w:hAnsi="Arial"/>
          <w:b/>
          <w:bCs/>
          <w:color w:val="2E75B6"/>
          <w:sz w:val="28"/>
          <w:szCs w:val="28"/>
        </w:rPr>
        <w:t xml:space="preserve">6.1 Origen y razón de ser</w:t>
      </w:r>
    </w:p>
    <w:p>
      <w:pPr>
        <w:spacing w:before="80" w:after="120"/>
        <w:jc w:val="both"/>
      </w:pPr>
      <w:r>
        <w:rPr>
          <w:rFonts w:ascii="Arial" w:cs="Arial" w:eastAsia="Arial" w:hAnsi="Arial"/>
          <w:sz w:val="22"/>
          <w:szCs w:val="22"/>
        </w:rPr>
        <w:t xml:space="preserve">Inclusive Sport nació con la intención de crear un club de natación de competición. David, que había sido campeón de España de natación, quería construir algo desde el deporte. Pero al entrar en contacto directo con otras personas con discapacidad, tuvo un descubrimiento que lo cambió todo.</w:t>
      </w:r>
    </w:p>
    <w:p>
      <w:pPr>
        <w:spacing w:before="120" w:after="120"/>
      </w:pPr>
      <w:r>
        <w:t xml:space="preserve"/>
      </w:r>
    </w:p>
    <w:p>
      <w:pPr>
        <w:jc w:val="left"/>
      </w:pPr>
      <w:r>
        <w:rPr>
          <w:rFonts w:ascii="Arial" w:cs="Arial" w:eastAsia="Arial" w:hAnsi="Arial"/>
          <w:i/>
          <w:iCs/>
          <w:color w:val="1A1A2E"/>
          <w:sz w:val="22"/>
          <w:szCs w:val="22"/>
        </w:rPr>
        <w:t xml:space="preserve">"Cuando empecé con Inclusive Sports, lo que más me llamó la atención no fue ver a personas sin brazos o sin piernas que nadaban super rápido, sino que cuando salían del agua sonreían. Y yo decía: Joder, si ellos sonríen, ¿por qué yo no, que en teoría tengo menos limitaciones? ¿Por qué no soy feliz?"</w:t>
      </w:r>
    </w:p>
    <w:p>
      <w:pPr>
        <w:spacing w:before="120" w:after="120"/>
      </w:pPr>
      <w:r>
        <w:t xml:space="preserve"/>
      </w:r>
    </w:p>
    <w:p>
      <w:pPr>
        <w:spacing w:before="80" w:after="120"/>
        <w:jc w:val="both"/>
      </w:pPr>
      <w:r>
        <w:rPr>
          <w:rFonts w:ascii="Arial" w:cs="Arial" w:eastAsia="Arial" w:hAnsi="Arial"/>
          <w:sz w:val="22"/>
          <w:szCs w:val="22"/>
        </w:rPr>
        <w:t xml:space="preserve">David entendió que había buscado en el deporte la validación social que sentía que le faltaba: siendo un deportista excepcional, conseguiría el reconocimiento que le permitía sentirse válido. Y descubrió que las personas con discapacidades más severas eran más felices que él porque no competían para demostrar. Simplemente disfrutaban.</w:t>
      </w:r>
    </w:p>
    <w:p>
      <w:pPr>
        <w:spacing w:before="120" w:after="120"/>
      </w:pPr>
      <w:r>
        <w:t xml:space="preserve"/>
      </w:r>
    </w:p>
    <w:p>
      <w:pPr>
        <w:spacing w:before="80" w:after="120"/>
        <w:jc w:val="both"/>
      </w:pPr>
      <w:r>
        <w:rPr>
          <w:rFonts w:ascii="Arial" w:cs="Arial" w:eastAsia="Arial" w:hAnsi="Arial"/>
          <w:sz w:val="22"/>
          <w:szCs w:val="22"/>
        </w:rPr>
        <w:t xml:space="preserve">Con este aprendizaje, Inclusive Sport cambia de enfoque radicalmente: ya no es un club de natación. Es un espacio donde las personas con discapacidad pueden socializar, pasárselo bien y disfrutar del deporte sin presión de rendimiento ni competición.</w:t>
      </w:r>
    </w:p>
    <w:p>
      <w:pPr>
        <w:pStyle w:val="Heading2"/>
        <w:spacing w:before="360" w:after="180"/>
      </w:pPr>
      <w:bookmarkStart w:id="8799" w:name="section_sec8_2"/>
      <w:bookmarkEnd w:id="8799"/>
      <w:r>
        <w:rPr>
          <w:rFonts w:ascii="Arial" w:cs="Arial" w:eastAsia="Arial" w:hAnsi="Arial"/>
          <w:b/>
          <w:bCs/>
          <w:color w:val="2E75B6"/>
          <w:sz w:val="28"/>
          <w:szCs w:val="28"/>
        </w:rPr>
        <w:t xml:space="preserve">6.2 Propuesta de valor diferencial</w:t>
      </w:r>
    </w:p>
    <w:p>
      <w:pPr>
        <w:spacing w:before="80" w:after="120"/>
        <w:jc w:val="both"/>
      </w:pPr>
      <w:r>
        <w:rPr>
          <w:rFonts w:ascii="Arial" w:cs="Arial" w:eastAsia="Arial" w:hAnsi="Arial"/>
          <w:sz w:val="22"/>
          <w:szCs w:val="22"/>
        </w:rPr>
        <w:t xml:space="preserve">IS tiene dos valores diferenciales principales:</w:t>
      </w:r>
    </w:p>
    <w:p>
      <w:pPr>
        <w:spacing w:before="120" w:after="120"/>
      </w:pPr>
      <w:r>
        <w:t xml:space="preserve"/>
      </w:r>
    </w:p>
    <w:p>
      <w:pPr>
        <w:pStyle w:val="Heading3"/>
        <w:spacing w:before="240" w:after="120"/>
      </w:pPr>
      <w:r>
        <w:rPr>
          <w:rFonts w:ascii="Arial" w:cs="Arial" w:eastAsia="Arial" w:hAnsi="Arial"/>
          <w:b/>
          <w:bCs/>
          <w:color w:val="333333"/>
          <w:sz w:val="24"/>
          <w:szCs w:val="24"/>
        </w:rPr>
        <w:t xml:space="preserve">Diferencial 1: El enfoque (juego, no competición)</w:t>
      </w:r>
    </w:p>
    <w:p>
      <w:pPr>
        <w:spacing w:before="80" w:after="120"/>
        <w:jc w:val="both"/>
      </w:pPr>
      <w:r>
        <w:rPr>
          <w:rFonts w:ascii="Arial" w:cs="Arial" w:eastAsia="Arial" w:hAnsi="Arial"/>
          <w:sz w:val="22"/>
          <w:szCs w:val="22"/>
        </w:rPr>
        <w:t xml:space="preserve">IS elimina la presión del rendimiento deportivo. El objetivo no es aprender a nadar, ni aprender a jugar al fútbol, ni mejorar una marca. El objetivo es que los participantes disfruten, socialicen y crezcan como personas. Las actividades se diseñan como juegos que tienen valor en sí mismos, independientemente del nivel de cada participante.</w:t>
      </w:r>
    </w:p>
    <w:p>
      <w:pPr>
        <w:pStyle w:val="Heading3"/>
        <w:spacing w:before="240" w:after="120"/>
      </w:pPr>
      <w:r>
        <w:rPr>
          <w:rFonts w:ascii="Arial" w:cs="Arial" w:eastAsia="Arial" w:hAnsi="Arial"/>
          <w:b/>
          <w:bCs/>
          <w:color w:val="333333"/>
          <w:sz w:val="24"/>
          <w:szCs w:val="24"/>
        </w:rPr>
        <w:t xml:space="preserve">Diferencial 2: Atención personalizada y flexible</w:t>
      </w:r>
    </w:p>
    <w:p>
      <w:pPr>
        <w:spacing w:before="80" w:after="120"/>
        <w:jc w:val="both"/>
      </w:pPr>
      <w:r>
        <w:rPr>
          <w:rFonts w:ascii="Arial" w:cs="Arial" w:eastAsia="Arial" w:hAnsi="Arial"/>
          <w:sz w:val="22"/>
          <w:szCs w:val="22"/>
        </w:rPr>
        <w:t xml:space="preserve">A diferencia de muchos programas del sector que agrupan a personas con discapacidad en grandes grupos, IS trabaja con ratios 1:1 cuando la persona lo necesita, o en grupos pequeños cuando la dinámica social lo permite. La flexibilidad en la ratio es un diferencial importante que no tienen los programas municipales convencionales.</w:t>
      </w:r>
    </w:p>
    <w:p>
      <w:pPr>
        <w:pStyle w:val="Heading2"/>
        <w:spacing w:before="360" w:after="180"/>
      </w:pPr>
      <w:bookmarkStart w:id="2061" w:name="section_sec8_3"/>
      <w:bookmarkEnd w:id="2061"/>
      <w:r>
        <w:rPr>
          <w:rFonts w:ascii="Arial" w:cs="Arial" w:eastAsia="Arial" w:hAnsi="Arial"/>
          <w:b/>
          <w:bCs/>
          <w:color w:val="2E75B6"/>
          <w:sz w:val="28"/>
          <w:szCs w:val="28"/>
        </w:rPr>
        <w:t xml:space="preserve">6.3 Modalidades disponibles</w:t>
      </w:r>
    </w:p>
    <w:p>
      <w:pPr>
        <w:spacing w:before="120" w:after="120"/>
      </w:pPr>
      <w:r>
        <w:t xml:space="preserve"/>
      </w:r>
    </w:p>
    <w:p>
      <w:r>
        <w:rPr>
          <w:rFonts w:ascii="Arial" w:cs="Arial" w:eastAsia="Arial" w:hAnsi="Arial"/>
          <w:b/>
          <w:bCs/>
          <w:color w:val="FFFFFF"/>
          <w:sz w:val="20"/>
          <w:szCs w:val="20"/>
        </w:rPr>
        <w:t xml:space="preserve">Modalidad</w:t>
      </w:r>
    </w:p>
    <w:p>
      <w:r>
        <w:rPr>
          <w:rFonts w:ascii="Arial" w:cs="Arial" w:eastAsia="Arial" w:hAnsi="Arial"/>
          <w:b/>
          <w:bCs/>
          <w:color w:val="FFFFFF"/>
          <w:sz w:val="20"/>
          <w:szCs w:val="20"/>
        </w:rPr>
        <w:t xml:space="preserve">Público</w:t>
      </w:r>
    </w:p>
    <w:p>
      <w:r>
        <w:rPr>
          <w:rFonts w:ascii="Arial" w:cs="Arial" w:eastAsia="Arial" w:hAnsi="Arial"/>
          <w:b/>
          <w:bCs/>
          <w:color w:val="FFFFFF"/>
          <w:sz w:val="20"/>
          <w:szCs w:val="20"/>
        </w:rPr>
        <w:t xml:space="preserve">Descripción</w:t>
      </w:r>
    </w:p>
    <w:p>
      <w:r>
        <w:rPr>
          <w:rFonts w:ascii="Arial" w:cs="Arial" w:eastAsia="Arial" w:hAnsi="Arial"/>
          <w:b w:val="false"/>
          <w:bCs w:val="false"/>
          <w:color w:val="1A1A1A"/>
          <w:sz w:val="20"/>
          <w:szCs w:val="20"/>
        </w:rPr>
        <w:t xml:space="preserve">PiscinaSUS</w:t>
      </w:r>
    </w:p>
    <w:p>
      <w:r>
        <w:rPr>
          <w:rFonts w:ascii="Arial" w:cs="Arial" w:eastAsia="Arial" w:hAnsi="Arial"/>
          <w:b w:val="false"/>
          <w:bCs w:val="false"/>
          <w:color w:val="1A1A1A"/>
          <w:sz w:val="20"/>
          <w:szCs w:val="20"/>
        </w:rPr>
        <w:t xml:space="preserve">Peques y adultos</w:t>
      </w:r>
    </w:p>
    <w:p>
      <w:r>
        <w:rPr>
          <w:rFonts w:ascii="Arial" w:cs="Arial" w:eastAsia="Arial" w:hAnsi="Arial"/>
          <w:b w:val="false"/>
          <w:bCs w:val="false"/>
          <w:color w:val="1A1A1A"/>
          <w:sz w:val="20"/>
          <w:szCs w:val="20"/>
        </w:rPr>
        <w:t xml:space="preserve">Natación adaptada en medio acuático. El deporte rey de IS. Fomenta autonomía, coordinación y autoestima.</w:t>
      </w:r>
    </w:p>
    <w:p>
      <w:r>
        <w:rPr>
          <w:rFonts w:ascii="Arial" w:cs="Arial" w:eastAsia="Arial" w:hAnsi="Arial"/>
          <w:b w:val="false"/>
          <w:bCs w:val="false"/>
          <w:color w:val="1A1A1A"/>
          <w:sz w:val="20"/>
          <w:szCs w:val="20"/>
        </w:rPr>
        <w:t xml:space="preserve">Fútbol Inclusivo</w:t>
      </w:r>
    </w:p>
    <w:p>
      <w:r>
        <w:rPr>
          <w:rFonts w:ascii="Arial" w:cs="Arial" w:eastAsia="Arial" w:hAnsi="Arial"/>
          <w:b w:val="false"/>
          <w:bCs w:val="false"/>
          <w:color w:val="1A1A1A"/>
          <w:sz w:val="20"/>
          <w:szCs w:val="20"/>
        </w:rPr>
        <w:t xml:space="preserve">Peques y adultos</w:t>
      </w:r>
    </w:p>
    <w:p>
      <w:r>
        <w:rPr>
          <w:rFonts w:ascii="Arial" w:cs="Arial" w:eastAsia="Arial" w:hAnsi="Arial"/>
          <w:b w:val="false"/>
          <w:bCs w:val="false"/>
          <w:color w:val="1A1A1A"/>
          <w:sz w:val="20"/>
          <w:szCs w:val="20"/>
        </w:rPr>
        <w:t xml:space="preserve">Fútbol adaptado sin competición, centrado en habilidades sociales y juego.</w:t>
      </w:r>
    </w:p>
    <w:p>
      <w:r>
        <w:rPr>
          <w:rFonts w:ascii="Arial" w:cs="Arial" w:eastAsia="Arial" w:hAnsi="Arial"/>
          <w:b w:val="false"/>
          <w:bCs w:val="false"/>
          <w:color w:val="1A1A1A"/>
          <w:sz w:val="20"/>
          <w:szCs w:val="20"/>
        </w:rPr>
        <w:t xml:space="preserve">Multideporte</w:t>
      </w:r>
    </w:p>
    <w:p>
      <w:r>
        <w:rPr>
          <w:rFonts w:ascii="Arial" w:cs="Arial" w:eastAsia="Arial" w:hAnsi="Arial"/>
          <w:b w:val="false"/>
          <w:bCs w:val="false"/>
          <w:color w:val="1A1A1A"/>
          <w:sz w:val="20"/>
          <w:szCs w:val="20"/>
        </w:rPr>
        <w:t xml:space="preserve">Peques y adultos</w:t>
      </w:r>
    </w:p>
    <w:p>
      <w:r>
        <w:rPr>
          <w:rFonts w:ascii="Arial" w:cs="Arial" w:eastAsia="Arial" w:hAnsi="Arial"/>
          <w:b w:val="false"/>
          <w:bCs w:val="false"/>
          <w:color w:val="1A1A1A"/>
          <w:sz w:val="20"/>
          <w:szCs w:val="20"/>
        </w:rPr>
        <w:t xml:space="preserve">Varios deportes en formato lúdico, adaptados a las necesidades de cada participante.</w:t>
      </w:r>
    </w:p>
    <w:p>
      <w:r>
        <w:rPr>
          <w:rFonts w:ascii="Arial" w:cs="Arial" w:eastAsia="Arial" w:hAnsi="Arial"/>
          <w:b w:val="false"/>
          <w:bCs w:val="false"/>
          <w:color w:val="1A1A1A"/>
          <w:sz w:val="20"/>
          <w:szCs w:val="20"/>
        </w:rPr>
        <w:t xml:space="preserve">GimnaSUS</w:t>
      </w:r>
    </w:p>
    <w:p>
      <w:r>
        <w:rPr>
          <w:rFonts w:ascii="Arial" w:cs="Arial" w:eastAsia="Arial" w:hAnsi="Arial"/>
          <w:b w:val="false"/>
          <w:bCs w:val="false"/>
          <w:color w:val="1A1A1A"/>
          <w:sz w:val="20"/>
          <w:szCs w:val="20"/>
        </w:rPr>
        <w:t xml:space="preserve">Adultos</w:t>
      </w:r>
    </w:p>
    <w:p>
      <w:r>
        <w:rPr>
          <w:rFonts w:ascii="Arial" w:cs="Arial" w:eastAsia="Arial" w:hAnsi="Arial"/>
          <w:b w:val="false"/>
          <w:bCs w:val="false"/>
          <w:color w:val="1A1A1A"/>
          <w:sz w:val="20"/>
          <w:szCs w:val="20"/>
        </w:rPr>
        <w:t xml:space="preserve">Acondicionamiento físico, equilibrio y fuerza. En Sportrade (Cuatro Caminos) y Arganda del Rey.</w:t>
      </w:r>
    </w:p>
    <w:p>
      <w:r>
        <w:rPr>
          <w:rFonts w:ascii="Arial" w:cs="Arial" w:eastAsia="Arial" w:hAnsi="Arial"/>
          <w:b w:val="false"/>
          <w:bCs w:val="false"/>
          <w:color w:val="1A1A1A"/>
          <w:sz w:val="20"/>
          <w:szCs w:val="20"/>
        </w:rPr>
        <w:t xml:space="preserve">Pilates</w:t>
      </w:r>
    </w:p>
    <w:p>
      <w:r>
        <w:rPr>
          <w:rFonts w:ascii="Arial" w:cs="Arial" w:eastAsia="Arial" w:hAnsi="Arial"/>
          <w:b w:val="false"/>
          <w:bCs w:val="false"/>
          <w:color w:val="1A1A1A"/>
          <w:sz w:val="20"/>
          <w:szCs w:val="20"/>
        </w:rPr>
        <w:t xml:space="preserve">Adultos</w:t>
      </w:r>
    </w:p>
    <w:p>
      <w:r>
        <w:rPr>
          <w:rFonts w:ascii="Arial" w:cs="Arial" w:eastAsia="Arial" w:hAnsi="Arial"/>
          <w:b w:val="false"/>
          <w:bCs w:val="false"/>
          <w:color w:val="1A1A1A"/>
          <w:sz w:val="20"/>
          <w:szCs w:val="20"/>
        </w:rPr>
        <w:t xml:space="preserve">Mejora de dolores de espalda, flexibilidad y reducción de estrés. En Arganda del Rey.</w:t>
      </w:r>
    </w:p>
    <w:p>
      <w:pPr>
        <w:pStyle w:val="Heading2"/>
        <w:spacing w:before="360" w:after="180"/>
      </w:pPr>
      <w:bookmarkStart w:id="3729" w:name="section_sec8_4"/>
      <w:bookmarkEnd w:id="3729"/>
      <w:r>
        <w:rPr>
          <w:rFonts w:ascii="Arial" w:cs="Arial" w:eastAsia="Arial" w:hAnsi="Arial"/>
          <w:b/>
          <w:bCs/>
          <w:color w:val="2E75B6"/>
          <w:sz w:val="28"/>
          <w:szCs w:val="28"/>
        </w:rPr>
        <w:t xml:space="preserve">6.4 Modelo económico de IS</w:t>
      </w:r>
    </w:p>
    <w:p>
      <w:pPr>
        <w:spacing w:before="80" w:after="120"/>
        <w:jc w:val="both"/>
      </w:pPr>
      <w:r>
        <w:rPr>
          <w:rFonts w:ascii="Arial" w:cs="Arial" w:eastAsia="Arial" w:hAnsi="Arial"/>
          <w:sz w:val="22"/>
          <w:szCs w:val="22"/>
        </w:rPr>
        <w:t xml:space="preserve">Las familias pagan una suscripción mensual para acceder al servicio. Los precios actuales son:</w:t>
      </w:r>
    </w:p>
    <w:p>
      <w:pPr>
        <w:spacing w:before="120" w:after="120"/>
      </w:pPr>
      <w:r>
        <w:t xml:space="preserve"/>
      </w:r>
    </w:p>
    <w:p>
      <w:r>
        <w:rPr>
          <w:rFonts w:ascii="Arial" w:cs="Arial" w:eastAsia="Arial" w:hAnsi="Arial"/>
          <w:b/>
          <w:bCs/>
          <w:color w:val="FFFFFF"/>
          <w:sz w:val="20"/>
          <w:szCs w:val="20"/>
        </w:rPr>
        <w:t xml:space="preserve">Modalidad</w:t>
      </w:r>
    </w:p>
    <w:p>
      <w:r>
        <w:rPr>
          <w:rFonts w:ascii="Arial" w:cs="Arial" w:eastAsia="Arial" w:hAnsi="Arial"/>
          <w:b/>
          <w:bCs/>
          <w:color w:val="FFFFFF"/>
          <w:sz w:val="20"/>
          <w:szCs w:val="20"/>
        </w:rPr>
        <w:t xml:space="preserve">Precio actual/mes</w:t>
      </w:r>
    </w:p>
    <w:p>
      <w:r>
        <w:rPr>
          <w:rFonts w:ascii="Arial" w:cs="Arial" w:eastAsia="Arial" w:hAnsi="Arial"/>
          <w:b/>
          <w:bCs/>
          <w:color w:val="FFFFFF"/>
          <w:sz w:val="20"/>
          <w:szCs w:val="20"/>
        </w:rPr>
        <w:t xml:space="preserve">Precio futuro previsto</w:t>
      </w:r>
    </w:p>
    <w:p>
      <w:r>
        <w:rPr>
          <w:rFonts w:ascii="Arial" w:cs="Arial" w:eastAsia="Arial" w:hAnsi="Arial"/>
          <w:b w:val="false"/>
          <w:bCs w:val="false"/>
          <w:color w:val="1A1A1A"/>
          <w:sz w:val="20"/>
          <w:szCs w:val="20"/>
        </w:rPr>
        <w:t xml:space="preserve">Individual 1 día/semana</w:t>
      </w:r>
    </w:p>
    <w:p>
      <w:r>
        <w:rPr>
          <w:rFonts w:ascii="Arial" w:cs="Arial" w:eastAsia="Arial" w:hAnsi="Arial"/>
          <w:b w:val="false"/>
          <w:bCs w:val="false"/>
          <w:color w:val="1A1A1A"/>
          <w:sz w:val="20"/>
          <w:szCs w:val="20"/>
        </w:rPr>
        <w:t xml:space="preserve">44,95 €</w:t>
      </w:r>
    </w:p>
    <w:p>
      <w:r>
        <w:rPr>
          <w:rFonts w:ascii="Arial" w:cs="Arial" w:eastAsia="Arial" w:hAnsi="Arial"/>
          <w:b w:val="false"/>
          <w:bCs w:val="false"/>
          <w:color w:val="1A1A1A"/>
          <w:sz w:val="20"/>
          <w:szCs w:val="20"/>
        </w:rPr>
        <w:t xml:space="preserve">51,95 €</w:t>
      </w:r>
    </w:p>
    <w:p>
      <w:r>
        <w:rPr>
          <w:rFonts w:ascii="Arial" w:cs="Arial" w:eastAsia="Arial" w:hAnsi="Arial"/>
          <w:b w:val="false"/>
          <w:bCs w:val="false"/>
          <w:color w:val="1A1A1A"/>
          <w:sz w:val="20"/>
          <w:szCs w:val="20"/>
        </w:rPr>
        <w:t xml:space="preserve">Individual 2 días/semana</w:t>
      </w:r>
    </w:p>
    <w:p>
      <w:r>
        <w:rPr>
          <w:rFonts w:ascii="Arial" w:cs="Arial" w:eastAsia="Arial" w:hAnsi="Arial"/>
          <w:b w:val="false"/>
          <w:bCs w:val="false"/>
          <w:color w:val="1A1A1A"/>
          <w:sz w:val="20"/>
          <w:szCs w:val="20"/>
        </w:rPr>
        <w:t xml:space="preserve">89,95 €</w:t>
      </w:r>
    </w:p>
    <w:p>
      <w:r>
        <w:rPr>
          <w:rFonts w:ascii="Arial" w:cs="Arial" w:eastAsia="Arial" w:hAnsi="Arial"/>
          <w:b w:val="false"/>
          <w:bCs w:val="false"/>
          <w:color w:val="1A1A1A"/>
          <w:sz w:val="20"/>
          <w:szCs w:val="20"/>
        </w:rPr>
        <w:t xml:space="preserve">99,95 €</w:t>
      </w:r>
    </w:p>
    <w:p>
      <w:r>
        <w:rPr>
          <w:rFonts w:ascii="Arial" w:cs="Arial" w:eastAsia="Arial" w:hAnsi="Arial"/>
          <w:b w:val="false"/>
          <w:bCs w:val="false"/>
          <w:color w:val="1A1A1A"/>
          <w:sz w:val="20"/>
          <w:szCs w:val="20"/>
        </w:rPr>
        <w:t xml:space="preserve">Pareja/grupo 1 día/semana</w:t>
      </w:r>
    </w:p>
    <w:p>
      <w:r>
        <w:rPr>
          <w:rFonts w:ascii="Arial" w:cs="Arial" w:eastAsia="Arial" w:hAnsi="Arial"/>
          <w:b w:val="false"/>
          <w:bCs w:val="false"/>
          <w:color w:val="1A1A1A"/>
          <w:sz w:val="20"/>
          <w:szCs w:val="20"/>
        </w:rPr>
        <w:t xml:space="preserve">39,95 €</w:t>
      </w:r>
    </w:p>
    <w:p>
      <w:r>
        <w:rPr>
          <w:rFonts w:ascii="Arial" w:cs="Arial" w:eastAsia="Arial" w:hAnsi="Arial"/>
          <w:b w:val="false"/>
          <w:bCs w:val="false"/>
          <w:color w:val="1A1A1A"/>
          <w:sz w:val="20"/>
          <w:szCs w:val="20"/>
        </w:rPr>
        <w:t xml:space="preserve">44,95 €</w:t>
      </w:r>
    </w:p>
    <w:p>
      <w:r>
        <w:rPr>
          <w:rFonts w:ascii="Arial" w:cs="Arial" w:eastAsia="Arial" w:hAnsi="Arial"/>
          <w:b w:val="false"/>
          <w:bCs w:val="false"/>
          <w:color w:val="1A1A1A"/>
          <w:sz w:val="20"/>
          <w:szCs w:val="20"/>
        </w:rPr>
        <w:t xml:space="preserve">Pareja/grupo 2 días/semana</w:t>
      </w:r>
    </w:p>
    <w:p>
      <w:r>
        <w:rPr>
          <w:rFonts w:ascii="Arial" w:cs="Arial" w:eastAsia="Arial" w:hAnsi="Arial"/>
          <w:b w:val="false"/>
          <w:bCs w:val="false"/>
          <w:color w:val="1A1A1A"/>
          <w:sz w:val="20"/>
          <w:szCs w:val="20"/>
        </w:rPr>
        <w:t xml:space="preserve">64,95 €</w:t>
      </w:r>
    </w:p>
    <w:p>
      <w:r>
        <w:rPr>
          <w:rFonts w:ascii="Arial" w:cs="Arial" w:eastAsia="Arial" w:hAnsi="Arial"/>
          <w:b w:val="false"/>
          <w:bCs w:val="false"/>
          <w:color w:val="1A1A1A"/>
          <w:sz w:val="20"/>
          <w:szCs w:val="20"/>
        </w:rPr>
        <w:t xml:space="preserve">74,95 €</w:t>
      </w:r>
    </w:p>
    <w:p>
      <w:pPr>
        <w:spacing w:before="120" w:after="120"/>
      </w:pPr>
      <w:r>
        <w:t xml:space="preserve"/>
      </w:r>
    </w:p>
    <w:p>
      <w:pPr>
        <w:spacing w:before="80" w:after="120"/>
        <w:jc w:val="both"/>
      </w:pPr>
      <w:r>
        <w:rPr>
          <w:rFonts w:ascii="Arial" w:cs="Arial" w:eastAsia="Arial" w:hAnsi="Arial"/>
          <w:sz w:val="22"/>
          <w:szCs w:val="22"/>
        </w:rPr>
        <w:t xml:space="preserve">Hay un análisis de subida de precios del 11-15% ya trabajado internamente, con el objetivo de mejorar los márgenes del proyecto sin perder familias. Este análisis aún no ha sido implementado.</w:t>
      </w:r>
    </w:p>
    <w:p>
      <w:pPr>
        <w:pStyle w:val="Heading2"/>
        <w:spacing w:before="360" w:after="180"/>
      </w:pPr>
      <w:bookmarkStart w:id="5675" w:name="section_sec8_5"/>
      <w:bookmarkEnd w:id="5675"/>
      <w:r>
        <w:rPr>
          <w:rFonts w:ascii="Arial" w:cs="Arial" w:eastAsia="Arial" w:hAnsi="Arial"/>
          <w:b/>
          <w:bCs/>
          <w:color w:val="2E75B6"/>
          <w:sz w:val="28"/>
          <w:szCs w:val="28"/>
        </w:rPr>
        <w:t xml:space="preserve">6.5 Modelo de costes salariales en IS</w:t>
      </w:r>
    </w:p>
    <w:p>
      <w:pPr>
        <w:spacing w:before="80" w:after="120"/>
        <w:jc w:val="both"/>
      </w:pPr>
      <w:r>
        <w:rPr>
          <w:rFonts w:ascii="Arial" w:cs="Arial" w:eastAsia="Arial" w:hAnsi="Arial"/>
          <w:sz w:val="22"/>
          <w:szCs w:val="22"/>
        </w:rPr>
        <w:t xml:space="preserve">Los monitores de IS son categoría G2/N2 del convenio. La jornada estándar es de 30h para monitores habituales y de 5h para monitores "sabaderos". Las jornadas son variables y dependen de los servicios activos en cada zona. Las horas anuales de referencia para el cálculo del coste hora son 1.752h según convenio (÷12 = 146 h/mes). No existe figura de Director IS.</w:t>
      </w:r>
    </w:p>
    <w:p>
      <w:pPr>
        <w:spacing w:before="120" w:after="120"/>
      </w:pPr>
      <w:r>
        <w:t xml:space="preserve"/>
      </w:r>
    </w:p>
    <w:p>
      <w:r>
        <w:rPr>
          <w:rFonts w:ascii="Arial" w:cs="Arial" w:eastAsia="Arial" w:hAnsi="Arial"/>
          <w:b/>
          <w:bCs/>
          <w:color w:val="FFFFFF"/>
          <w:sz w:val="20"/>
          <w:szCs w:val="20"/>
        </w:rPr>
        <w:t xml:space="preserve">Perfil</w:t>
      </w:r>
    </w:p>
    <w:p>
      <w:r>
        <w:rPr>
          <w:rFonts w:ascii="Arial" w:cs="Arial" w:eastAsia="Arial" w:hAnsi="Arial"/>
          <w:b/>
          <w:bCs/>
          <w:color w:val="FFFFFF"/>
          <w:sz w:val="20"/>
          <w:szCs w:val="20"/>
        </w:rPr>
        <w:t xml:space="preserve">Jornada</w:t>
      </w:r>
    </w:p>
    <w:p>
      <w:r>
        <w:rPr>
          <w:rFonts w:ascii="Arial" w:cs="Arial" w:eastAsia="Arial" w:hAnsi="Arial"/>
          <w:b/>
          <w:bCs/>
          <w:color w:val="FFFFFF"/>
          <w:sz w:val="20"/>
          <w:szCs w:val="20"/>
        </w:rPr>
        <w:t xml:space="preserve">Bruto mensual Pegasus</w:t>
      </w:r>
    </w:p>
    <w:p>
      <w:r>
        <w:rPr>
          <w:rFonts w:ascii="Arial" w:cs="Arial" w:eastAsia="Arial" w:hAnsi="Arial"/>
          <w:b/>
          <w:bCs/>
          <w:color w:val="FFFFFF"/>
          <w:sz w:val="20"/>
          <w:szCs w:val="20"/>
        </w:rPr>
        <w:t xml:space="preserve">Coste empresa/mes</w:t>
      </w:r>
    </w:p>
    <w:p>
      <w:r>
        <w:rPr>
          <w:rFonts w:ascii="Arial" w:cs="Arial" w:eastAsia="Arial" w:hAnsi="Arial"/>
          <w:b/>
          <w:bCs/>
          <w:color w:val="FFFFFF"/>
          <w:sz w:val="20"/>
          <w:szCs w:val="20"/>
        </w:rPr>
        <w:t xml:space="preserve">Bruto hora Pegasus</w:t>
      </w:r>
    </w:p>
    <w:p>
      <w:r>
        <w:rPr>
          <w:rFonts w:ascii="Arial" w:cs="Arial" w:eastAsia="Arial" w:hAnsi="Arial"/>
          <w:b/>
          <w:bCs/>
          <w:color w:val="FFFFFF"/>
          <w:sz w:val="20"/>
          <w:szCs w:val="20"/>
        </w:rPr>
        <w:t xml:space="preserve">Coste hora empresa</w:t>
      </w:r>
    </w:p>
    <w:p>
      <w:r>
        <w:rPr>
          <w:rFonts w:ascii="Arial" w:cs="Arial" w:eastAsia="Arial" w:hAnsi="Arial"/>
          <w:b w:val="false"/>
          <w:bCs w:val="false"/>
          <w:color w:val="1A1A1A"/>
          <w:sz w:val="20"/>
          <w:szCs w:val="20"/>
        </w:rPr>
        <w:t xml:space="preserve">Monitor estándar</w:t>
      </w:r>
    </w:p>
    <w:p>
      <w:r>
        <w:rPr>
          <w:rFonts w:ascii="Arial" w:cs="Arial" w:eastAsia="Arial" w:hAnsi="Arial"/>
          <w:b w:val="false"/>
          <w:bCs w:val="false"/>
          <w:color w:val="1A1A1A"/>
          <w:sz w:val="20"/>
          <w:szCs w:val="20"/>
        </w:rPr>
        <w:t xml:space="preserve">30h/semana</w:t>
      </w:r>
    </w:p>
    <w:p>
      <w:r>
        <w:rPr>
          <w:rFonts w:ascii="Arial" w:cs="Arial" w:eastAsia="Arial" w:hAnsi="Arial"/>
          <w:b w:val="false"/>
          <w:bCs w:val="false"/>
          <w:color w:val="1A1A1A"/>
          <w:sz w:val="20"/>
          <w:szCs w:val="20"/>
        </w:rPr>
        <w:t xml:space="preserve">1.320,00 €</w:t>
      </w:r>
    </w:p>
    <w:p>
      <w:r>
        <w:rPr>
          <w:rFonts w:ascii="Arial" w:cs="Arial" w:eastAsia="Arial" w:hAnsi="Arial"/>
          <w:b w:val="false"/>
          <w:bCs w:val="false"/>
          <w:color w:val="1A1A1A"/>
          <w:sz w:val="20"/>
          <w:szCs w:val="20"/>
        </w:rPr>
        <w:t xml:space="preserve">1.742,40 €</w:t>
      </w:r>
    </w:p>
    <w:p>
      <w:r>
        <w:rPr>
          <w:rFonts w:ascii="Arial" w:cs="Arial" w:eastAsia="Arial" w:hAnsi="Arial"/>
          <w:b w:val="false"/>
          <w:bCs w:val="false"/>
          <w:color w:val="1A1A1A"/>
          <w:sz w:val="20"/>
          <w:szCs w:val="20"/>
        </w:rPr>
        <w:t xml:space="preserve">12,05 €</w:t>
      </w:r>
    </w:p>
    <w:p>
      <w:r>
        <w:rPr>
          <w:rFonts w:ascii="Arial" w:cs="Arial" w:eastAsia="Arial" w:hAnsi="Arial"/>
          <w:b w:val="false"/>
          <w:bCs w:val="false"/>
          <w:color w:val="1A1A1A"/>
          <w:sz w:val="20"/>
          <w:szCs w:val="20"/>
        </w:rPr>
        <w:t xml:space="preserve">15,91 €</w:t>
      </w:r>
    </w:p>
    <w:p>
      <w:r>
        <w:rPr>
          <w:rFonts w:ascii="Arial" w:cs="Arial" w:eastAsia="Arial" w:hAnsi="Arial"/>
          <w:b w:val="false"/>
          <w:bCs w:val="false"/>
          <w:color w:val="1A1A1A"/>
          <w:sz w:val="20"/>
          <w:szCs w:val="20"/>
        </w:rPr>
        <w:t xml:space="preserve">Monitor "sabadero"</w:t>
      </w:r>
    </w:p>
    <w:p>
      <w:r>
        <w:rPr>
          <w:rFonts w:ascii="Arial" w:cs="Arial" w:eastAsia="Arial" w:hAnsi="Arial"/>
          <w:b w:val="false"/>
          <w:bCs w:val="false"/>
          <w:color w:val="1A1A1A"/>
          <w:sz w:val="20"/>
          <w:szCs w:val="20"/>
        </w:rPr>
        <w:t xml:space="preserve">5h/semana</w:t>
      </w:r>
    </w:p>
    <w:p>
      <w:r>
        <w:rPr>
          <w:rFonts w:ascii="Arial" w:cs="Arial" w:eastAsia="Arial" w:hAnsi="Arial"/>
          <w:b w:val="false"/>
          <w:bCs w:val="false"/>
          <w:color w:val="1A1A1A"/>
          <w:sz w:val="20"/>
          <w:szCs w:val="20"/>
        </w:rPr>
        <w:t xml:space="preserve">220,00 €</w:t>
      </w:r>
    </w:p>
    <w:p>
      <w:r>
        <w:rPr>
          <w:rFonts w:ascii="Arial" w:cs="Arial" w:eastAsia="Arial" w:hAnsi="Arial"/>
          <w:b w:val="false"/>
          <w:bCs w:val="false"/>
          <w:color w:val="1A1A1A"/>
          <w:sz w:val="20"/>
          <w:szCs w:val="20"/>
        </w:rPr>
        <w:t xml:space="preserve">290,40 €</w:t>
      </w:r>
    </w:p>
    <w:p>
      <w:r>
        <w:rPr>
          <w:rFonts w:ascii="Arial" w:cs="Arial" w:eastAsia="Arial" w:hAnsi="Arial"/>
          <w:b w:val="false"/>
          <w:bCs w:val="false"/>
          <w:color w:val="1A1A1A"/>
          <w:sz w:val="20"/>
          <w:szCs w:val="20"/>
        </w:rPr>
        <w:t xml:space="preserve">12,05 €</w:t>
      </w:r>
    </w:p>
    <w:p>
      <w:r>
        <w:rPr>
          <w:rFonts w:ascii="Arial" w:cs="Arial" w:eastAsia="Arial" w:hAnsi="Arial"/>
          <w:b w:val="false"/>
          <w:bCs w:val="false"/>
          <w:color w:val="1A1A1A"/>
          <w:sz w:val="20"/>
          <w:szCs w:val="20"/>
        </w:rPr>
        <w:t xml:space="preserve">15,91 €</w:t>
      </w:r>
    </w:p>
    <w:p>
      <w:r>
        <w:rPr>
          <w:rFonts w:ascii="Arial" w:cs="Arial" w:eastAsia="Arial" w:hAnsi="Arial"/>
          <w:b w:val="false"/>
          <w:bCs w:val="false"/>
          <w:color w:val="1A1A1A"/>
          <w:sz w:val="20"/>
          <w:szCs w:val="20"/>
        </w:rPr>
        <w:t xml:space="preserve">Monitor jornada completa</w:t>
      </w:r>
    </w:p>
    <w:p>
      <w:r>
        <w:rPr>
          <w:rFonts w:ascii="Arial" w:cs="Arial" w:eastAsia="Arial" w:hAnsi="Arial"/>
          <w:b w:val="false"/>
          <w:bCs w:val="false"/>
          <w:color w:val="1A1A1A"/>
          <w:sz w:val="20"/>
          <w:szCs w:val="20"/>
        </w:rPr>
        <w:t xml:space="preserve">40h/semana</w:t>
      </w:r>
    </w:p>
    <w:p>
      <w:r>
        <w:rPr>
          <w:rFonts w:ascii="Arial" w:cs="Arial" w:eastAsia="Arial" w:hAnsi="Arial"/>
          <w:b w:val="false"/>
          <w:bCs w:val="false"/>
          <w:color w:val="1A1A1A"/>
          <w:sz w:val="20"/>
          <w:szCs w:val="20"/>
        </w:rPr>
        <w:t xml:space="preserve">1.760,00 €</w:t>
      </w:r>
    </w:p>
    <w:p>
      <w:r>
        <w:rPr>
          <w:rFonts w:ascii="Arial" w:cs="Arial" w:eastAsia="Arial" w:hAnsi="Arial"/>
          <w:b w:val="false"/>
          <w:bCs w:val="false"/>
          <w:color w:val="1A1A1A"/>
          <w:sz w:val="20"/>
          <w:szCs w:val="20"/>
        </w:rPr>
        <w:t xml:space="preserve">2.323,20 €</w:t>
      </w:r>
    </w:p>
    <w:p>
      <w:r>
        <w:rPr>
          <w:rFonts w:ascii="Arial" w:cs="Arial" w:eastAsia="Arial" w:hAnsi="Arial"/>
          <w:b w:val="false"/>
          <w:bCs w:val="false"/>
          <w:color w:val="1A1A1A"/>
          <w:sz w:val="20"/>
          <w:szCs w:val="20"/>
        </w:rPr>
        <w:t xml:space="preserve">12,05 €</w:t>
      </w:r>
    </w:p>
    <w:p>
      <w:r>
        <w:rPr>
          <w:rFonts w:ascii="Arial" w:cs="Arial" w:eastAsia="Arial" w:hAnsi="Arial"/>
          <w:b w:val="false"/>
          <w:bCs w:val="false"/>
          <w:color w:val="1A1A1A"/>
          <w:sz w:val="20"/>
          <w:szCs w:val="20"/>
        </w:rPr>
        <w:t xml:space="preserve">15,91 €</w:t>
      </w:r>
    </w:p>
    <w:p>
      <w:r>
        <w:rPr>
          <w:rFonts w:ascii="Arial" w:cs="Arial" w:eastAsia="Arial" w:hAnsi="Arial"/>
          <w:b w:val="false"/>
          <w:bCs w:val="false"/>
          <w:color w:val="1A1A1A"/>
          <w:sz w:val="20"/>
          <w:szCs w:val="20"/>
        </w:rPr>
        <w:t xml:space="preserve">Coordinador IS</w:t>
      </w:r>
    </w:p>
    <w:p>
      <w:r>
        <w:rPr>
          <w:rFonts w:ascii="Arial" w:cs="Arial" w:eastAsia="Arial" w:hAnsi="Arial"/>
          <w:b w:val="false"/>
          <w:bCs w:val="false"/>
          <w:color w:val="1A1A1A"/>
          <w:sz w:val="20"/>
          <w:szCs w:val="20"/>
        </w:rPr>
        <w:t xml:space="preserve">40h/semana</w:t>
      </w:r>
    </w:p>
    <w:p>
      <w:r>
        <w:rPr>
          <w:rFonts w:ascii="Arial" w:cs="Arial" w:eastAsia="Arial" w:hAnsi="Arial"/>
          <w:b w:val="false"/>
          <w:bCs w:val="false"/>
          <w:color w:val="1A1A1A"/>
          <w:sz w:val="20"/>
          <w:szCs w:val="20"/>
        </w:rPr>
        <w:t xml:space="preserve">1.800,00 €</w:t>
      </w:r>
    </w:p>
    <w:p>
      <w:r>
        <w:rPr>
          <w:rFonts w:ascii="Arial" w:cs="Arial" w:eastAsia="Arial" w:hAnsi="Arial"/>
          <w:b w:val="false"/>
          <w:bCs w:val="false"/>
          <w:color w:val="1A1A1A"/>
          <w:sz w:val="20"/>
          <w:szCs w:val="20"/>
        </w:rPr>
        <w:t xml:space="preserve">2.376,00 €</w:t>
      </w:r>
    </w:p>
    <w:p>
      <w:r>
        <w:rPr>
          <w:rFonts w:ascii="Arial" w:cs="Arial" w:eastAsia="Arial" w:hAnsi="Arial"/>
          <w:b w:val="false"/>
          <w:bCs w:val="false"/>
          <w:color w:val="1A1A1A"/>
          <w:sz w:val="20"/>
          <w:szCs w:val="20"/>
        </w:rPr>
        <w:t xml:space="preserve">12,33 €</w:t>
      </w:r>
    </w:p>
    <w:p>
      <w:r>
        <w:rPr>
          <w:rFonts w:ascii="Arial" w:cs="Arial" w:eastAsia="Arial" w:hAnsi="Arial"/>
          <w:b w:val="false"/>
          <w:bCs w:val="false"/>
          <w:color w:val="1A1A1A"/>
          <w:sz w:val="20"/>
          <w:szCs w:val="20"/>
        </w:rPr>
        <w:t xml:space="preserve">16,27 €</w:t>
      </w:r>
    </w:p>
    <w:p>
      <w:pPr>
        <w:spacing w:before="120" w:after="120"/>
      </w:pPr>
      <w:r>
        <w:t xml:space="preserve"/>
      </w:r>
    </w:p>
    <w:p>
      <w:pPr>
        <w:spacing w:before="80" w:after="120"/>
        <w:jc w:val="both"/>
      </w:pPr>
      <w:r>
        <w:rPr>
          <w:rFonts w:ascii="Arial" w:cs="Arial" w:eastAsia="Arial" w:hAnsi="Arial"/>
          <w:sz w:val="22"/>
          <w:szCs w:val="22"/>
        </w:rPr>
        <w:t xml:space="preserve">El coste hora empresa en IS es de 15,91€, calculado sobre 1.752 horas anuales según convenio. El bruto hora Pegasus es de 12,05€. Los coordinadores de IS no tienen plus de coordinación; su salario pactado es de 1.800€ brutos mensuales a jornada completa. No existe figura de Director IS.</w:t>
      </w:r>
    </w:p>
    <w:p>
      <w:pPr>
        <w:pStyle w:val="Heading2"/>
        <w:spacing w:before="360" w:after="180"/>
      </w:pPr>
      <w:bookmarkStart w:id="4227" w:name="section_sec8_6"/>
      <w:bookmarkEnd w:id="4227"/>
      <w:r>
        <w:rPr>
          <w:rFonts w:ascii="Arial" w:cs="Arial" w:eastAsia="Arial" w:hAnsi="Arial"/>
          <w:b/>
          <w:bCs/>
          <w:color w:val="2E75B6"/>
          <w:sz w:val="28"/>
          <w:szCs w:val="28"/>
        </w:rPr>
        <w:t xml:space="preserve">6.6 Punto de break-even de IS</w:t>
      </w:r>
    </w:p>
    <w:p>
      <w:pPr>
        <w:spacing w:before="80" w:after="120"/>
        <w:jc w:val="both"/>
      </w:pPr>
      <w:r>
        <w:rPr>
          <w:rFonts w:ascii="Arial" w:cs="Arial" w:eastAsia="Arial" w:hAnsi="Arial"/>
          <w:sz w:val="22"/>
          <w:szCs w:val="22"/>
        </w:rPr>
        <w:t xml:space="preserve">Con 48 plazas disponibles como capacidad máxima, el coste mensual del monitor es 1.627€. El break-even por profesional se sitúa en torno a 23-25 plazas ocupadas sobre 48 (50% de ocupación). Con ocupación completa, el beneficio mensual por profesional es de aproximadamente 866€.</w:t>
      </w:r>
    </w:p>
    <w:p>
      <w:pPr>
        <w:spacing w:before="120" w:after="120"/>
      </w:pPr>
      <w:r>
        <w:t xml:space="preserve"/>
      </w:r>
    </w:p>
    <w:p>
      <w:pPr>
        <w:spacing w:before="80" w:after="120"/>
        <w:jc w:val="both"/>
      </w:pPr>
      <w:r>
        <w:rPr>
          <w:rFonts w:ascii="Arial" w:cs="Arial" w:eastAsia="Arial" w:hAnsi="Arial"/>
          <w:sz w:val="22"/>
          <w:szCs w:val="22"/>
        </w:rPr>
        <w:t xml:space="preserve">IS se situó en break-even en 2025 (194.228€ de ingresos). El presupuesto 2026 es ligeramente inferior (184.245€), con una estrategia de crecimiento controlado enfocada en aumentar el ticket medio antes que en expandir la base de clientes.</w:t>
      </w:r>
    </w:p>
    <w:p>
      <w:pPr>
        <w:pStyle w:val="Heading2"/>
        <w:spacing w:before="360" w:after="180"/>
      </w:pPr>
      <w:bookmarkStart w:id="2499" w:name="section_sec8_7"/>
      <w:bookmarkEnd w:id="2499"/>
      <w:r>
        <w:rPr>
          <w:rFonts w:ascii="Arial" w:cs="Arial" w:eastAsia="Arial" w:hAnsi="Arial"/>
          <w:b/>
          <w:bCs/>
          <w:color w:val="2E75B6"/>
          <w:sz w:val="28"/>
          <w:szCs w:val="28"/>
        </w:rPr>
        <w:t xml:space="preserve">6.7 Retos operativos de IS</w:t>
      </w:r>
    </w:p>
    <w:p>
      <w:pPr>
        <w:spacing w:before="80" w:after="120"/>
        <w:jc w:val="both"/>
      </w:pPr>
      <w:r>
        <w:rPr>
          <w:rFonts w:ascii="Arial" w:cs="Arial" w:eastAsia="Arial" w:hAnsi="Arial"/>
          <w:sz w:val="22"/>
          <w:szCs w:val="22"/>
        </w:rPr>
        <w:t xml:space="preserve">IS es el proyecto con mayor complejidad operativa de la organización. Las principales razones son:</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Dependencia de instalaciones municipales (piscinas, polideportivos) que tienen horarios y disponibilidades limitadas y cambiantes.</w:t>
      </w:r>
    </w:p>
    <w:p>
      <w:pPr>
        <w:pStyle w:val="ListParagraph"/>
        <w:numPr>
          <w:ilvl w:val="0"/>
          <w:numId w:val="2"/>
        </w:numPr>
        <w:spacing w:before="60" w:after="60"/>
      </w:pPr>
      <w:r>
        <w:rPr>
          <w:rFonts w:ascii="Arial" w:cs="Arial" w:eastAsia="Arial" w:hAnsi="Arial"/>
          <w:b w:val="false"/>
          <w:bCs w:val="false"/>
          <w:sz w:val="22"/>
          <w:szCs w:val="22"/>
        </w:rPr>
        <w:t xml:space="preserve">Alta dispersión geográfica de los servicios, que complica la coordinación y genera costes de desplazamiento.</w:t>
      </w:r>
    </w:p>
    <w:p>
      <w:pPr>
        <w:pStyle w:val="ListParagraph"/>
        <w:numPr>
          <w:ilvl w:val="0"/>
          <w:numId w:val="2"/>
        </w:numPr>
        <w:spacing w:before="60" w:after="60"/>
      </w:pPr>
      <w:r>
        <w:rPr>
          <w:rFonts w:ascii="Arial" w:cs="Arial" w:eastAsia="Arial" w:hAnsi="Arial"/>
          <w:b w:val="false"/>
          <w:bCs w:val="false"/>
          <w:sz w:val="22"/>
          <w:szCs w:val="22"/>
        </w:rPr>
        <w:t xml:space="preserve">Jornadas variables y parciales de los monitores, lo que dificulta la planificación y genera mayor rotación.</w:t>
      </w:r>
    </w:p>
    <w:p>
      <w:pPr>
        <w:pStyle w:val="ListParagraph"/>
        <w:numPr>
          <w:ilvl w:val="0"/>
          <w:numId w:val="2"/>
        </w:numPr>
        <w:spacing w:before="60" w:after="60"/>
      </w:pPr>
      <w:r>
        <w:rPr>
          <w:rFonts w:ascii="Arial" w:cs="Arial" w:eastAsia="Arial" w:hAnsi="Arial"/>
          <w:b w:val="false"/>
          <w:bCs w:val="false"/>
          <w:sz w:val="22"/>
          <w:szCs w:val="22"/>
        </w:rPr>
        <w:t xml:space="preserve">Menor margen que TPT, lo que deja menos espacio para absorber imprevistos operativos.</w:t>
      </w:r>
    </w:p>
    <w:p>
      <w:pPr>
        <w:spacing w:before="120" w:after="120"/>
      </w:pPr>
      <w:r>
        <w:t xml:space="preserve"/>
      </w:r>
    </w:p>
    <w:p>
      <w:pPr>
        <w:spacing w:before="80" w:after="120"/>
        <w:jc w:val="both"/>
      </w:pPr>
      <w:r>
        <w:rPr>
          <w:rFonts w:ascii="Arial" w:cs="Arial" w:eastAsia="Arial" w:hAnsi="Arial"/>
          <w:sz w:val="22"/>
          <w:szCs w:val="22"/>
        </w:rPr>
        <w:t xml:space="preserve">La fusión prevista de los coordinadores de TPT e IS para septiembre de 2026 es la principal palanca de mejora operativa identificada.</w:t>
      </w:r>
    </w:p>
    <w:p>
      <w:pPr>
        <w:pStyle w:val="Heading2"/>
        <w:spacing w:before="360" w:after="180"/>
      </w:pPr>
      <w:bookmarkStart w:id="1536" w:name="section_sec8_8"/>
      <w:bookmarkEnd w:id="1536"/>
      <w:r>
        <w:rPr>
          <w:rFonts w:ascii="Arial" w:cs="Arial" w:eastAsia="Arial" w:hAnsi="Arial"/>
          <w:b/>
          <w:bCs/>
          <w:color w:val="2E75B6"/>
          <w:sz w:val="28"/>
          <w:szCs w:val="28"/>
        </w:rPr>
        <w:t xml:space="preserve">6.8 IS como ecosistema con TPT</w:t>
      </w:r>
    </w:p>
    <w:p>
      <w:pPr>
        <w:spacing w:before="80" w:after="120"/>
        <w:jc w:val="both"/>
      </w:pPr>
      <w:r>
        <w:rPr>
          <w:rFonts w:ascii="Arial" w:cs="Arial" w:eastAsia="Arial" w:hAnsi="Arial"/>
          <w:sz w:val="22"/>
          <w:szCs w:val="22"/>
        </w:rPr>
        <w:t xml:space="preserve">Uno de los elementos estratégicos más relevantes de IS no es económico sino ecosistémico. IS y TPT no son dos servicios separados: son dos puertas de entrada al mismo espacio. Una familia que viene los martes a terapia puede venir los sábados a la piscina. El niño no es solo paciente: es también deportista, jugador, miembro de una comunidad.</w:t>
      </w:r>
    </w:p>
    <w:p>
      <w:pPr>
        <w:spacing w:before="120" w:after="120"/>
      </w:pPr>
      <w:r>
        <w:t xml:space="preserve"/>
      </w:r>
    </w:p>
    <w:p>
      <w:pPr>
        <w:spacing w:before="80" w:after="120"/>
        <w:jc w:val="both"/>
      </w:pPr>
      <w:r>
        <w:rPr>
          <w:rFonts w:ascii="Arial" w:cs="Arial" w:eastAsia="Arial" w:hAnsi="Arial"/>
          <w:sz w:val="22"/>
          <w:szCs w:val="22"/>
        </w:rPr>
        <w:t xml:space="preserve">Esto genera un vínculo emocional con Pegasus que va más allá de cualquier servicio individual, aumenta el LTV de la familia y reduce el churn. IS, aunque no sea el proyecto más rentable individualmente, es un componente esencial del modelo de comunidad de Pegasus.</w:t>
      </w:r>
    </w:p>
    <w:p>
      <w:pPr>
        <w:pStyle w:val="Heading2"/>
        <w:spacing w:before="360" w:after="180"/>
      </w:pPr>
      <w:bookmarkStart w:id="3941" w:name="section_sec8_9"/>
      <w:bookmarkEnd w:id="3941"/>
      <w:r>
        <w:rPr>
          <w:rFonts w:ascii="Arial" w:cs="Arial" w:eastAsia="Arial" w:hAnsi="Arial"/>
          <w:b/>
          <w:bCs/>
          <w:color w:val="2E75B6"/>
          <w:sz w:val="28"/>
          <w:szCs w:val="28"/>
        </w:rPr>
        <w:t xml:space="preserve">6.9 Cifras de impacto</w:t>
      </w:r>
    </w:p>
    <w:p>
      <w:pPr>
        <w:pStyle w:val="ListParagraph"/>
        <w:numPr>
          <w:ilvl w:val="0"/>
          <w:numId w:val="2"/>
        </w:numPr>
        <w:spacing w:before="60" w:after="60"/>
      </w:pPr>
      <w:r>
        <w:rPr>
          <w:rFonts w:ascii="Arial" w:cs="Arial" w:eastAsia="Arial" w:hAnsi="Arial"/>
          <w:b w:val="false"/>
          <w:bCs w:val="false"/>
          <w:sz w:val="22"/>
          <w:szCs w:val="22"/>
        </w:rPr>
        <w:t xml:space="preserve">Más de 500 familias en actividades deportivas</w:t>
      </w:r>
    </w:p>
    <w:p>
      <w:pPr>
        <w:pStyle w:val="ListParagraph"/>
        <w:numPr>
          <w:ilvl w:val="0"/>
          <w:numId w:val="2"/>
        </w:numPr>
        <w:spacing w:before="60" w:after="60"/>
      </w:pPr>
      <w:r>
        <w:rPr>
          <w:rFonts w:ascii="Arial" w:cs="Arial" w:eastAsia="Arial" w:hAnsi="Arial"/>
          <w:b w:val="false"/>
          <w:bCs w:val="false"/>
          <w:sz w:val="22"/>
          <w:szCs w:val="22"/>
        </w:rPr>
        <w:t xml:space="preserve">14+ ubicaciones entre Madrid capital y municipios de la Comunidad de Madrid</w:t>
      </w:r>
    </w:p>
    <w:p>
      <w:pPr>
        <w:pStyle w:val="ListParagraph"/>
        <w:numPr>
          <w:ilvl w:val="0"/>
          <w:numId w:val="2"/>
        </w:numPr>
        <w:spacing w:before="60" w:after="60"/>
      </w:pPr>
      <w:r>
        <w:rPr>
          <w:rFonts w:ascii="Arial" w:cs="Arial" w:eastAsia="Arial" w:hAnsi="Arial"/>
          <w:b w:val="false"/>
          <w:bCs w:val="false"/>
          <w:sz w:val="22"/>
          <w:szCs w:val="22"/>
        </w:rPr>
        <w:t xml:space="preserve">Facturación 2025: 194.228€ (+24% vs 2024)</w:t>
      </w:r>
    </w:p>
    <w:p>
      <w:pPr>
        <w:pStyle w:val="ListParagraph"/>
        <w:numPr>
          <w:ilvl w:val="0"/>
          <w:numId w:val="2"/>
        </w:numPr>
        <w:spacing w:before="60" w:after="60"/>
      </w:pPr>
      <w:r>
        <w:rPr>
          <w:rFonts w:ascii="Arial" w:cs="Arial" w:eastAsia="Arial" w:hAnsi="Arial"/>
          <w:b w:val="false"/>
          <w:bCs w:val="false"/>
          <w:sz w:val="22"/>
          <w:szCs w:val="22"/>
        </w:rPr>
        <w:t xml:space="preserve">Premio Innovación La Caixa por innovación en autonomía personal y atención a la discapacidad</w:t>
      </w:r>
    </w:p>
    <w:p>
      <w:r>
        <w:br w:type="page"/>
      </w:r>
    </w:p>
    <w:p>
      <w:pPr>
        <w:pStyle w:val="Heading1"/>
        <w:pBdr>
          <w:bottom w:val="single" w:color="2E75B6" w:sz="8" w:space="4"/>
        </w:pBdr>
        <w:spacing w:before="480" w:after="240"/>
      </w:pPr>
      <w:bookmarkStart w:id="9974" w:name="chapter_ch9"/>
      <w:bookmarkEnd w:id="9974"/>
      <w:r>
        <w:rPr>
          <w:rFonts w:ascii="Arial" w:cs="Arial" w:eastAsia="Arial" w:hAnsi="Arial"/>
          <w:b/>
          <w:bCs/>
          <w:color w:val="1F3864"/>
          <w:sz w:val="36"/>
          <w:szCs w:val="36"/>
        </w:rPr>
        <w:t xml:space="preserve">7. INDIFERENTE: CONSULTORÍA DE DIVERSIDAD E INCLUSIÓN</w:t>
      </w:r>
    </w:p>
    <w:p>
      <w:pPr>
        <w:pStyle w:val="Heading2"/>
        <w:spacing w:before="360" w:after="180"/>
      </w:pPr>
      <w:bookmarkStart w:id="5590" w:name="section_sec9_1"/>
      <w:bookmarkEnd w:id="5590"/>
      <w:r>
        <w:rPr>
          <w:rFonts w:ascii="Arial" w:cs="Arial" w:eastAsia="Arial" w:hAnsi="Arial"/>
          <w:b/>
          <w:bCs/>
          <w:color w:val="2E75B6"/>
          <w:sz w:val="28"/>
          <w:szCs w:val="28"/>
        </w:rPr>
        <w:t xml:space="preserve">7.1 Por qué existe Indiferente</w:t>
      </w:r>
    </w:p>
    <w:p>
      <w:pPr>
        <w:spacing w:before="80" w:after="120"/>
        <w:jc w:val="both"/>
      </w:pPr>
      <w:r>
        <w:rPr>
          <w:rFonts w:ascii="Arial" w:cs="Arial" w:eastAsia="Arial" w:hAnsi="Arial"/>
          <w:sz w:val="22"/>
          <w:szCs w:val="22"/>
        </w:rPr>
        <w:t xml:space="preserve">Indiferente nace de una decisión estratégica y filosófica: Pegasus no acepta donativos ni voluntariado. Para financiar su misión social sin depender de donaciones, necesitaba crear un servicio de valor real que el mercado estuviera dispuesto a pagar.</w:t>
      </w:r>
    </w:p>
    <w:p>
      <w:pPr>
        <w:spacing w:before="120" w:after="120"/>
      </w:pPr>
      <w:r>
        <w:t xml:space="preserve"/>
      </w:r>
    </w:p>
    <w:p>
      <w:pPr>
        <w:spacing w:before="80" w:after="120"/>
        <w:jc w:val="both"/>
      </w:pPr>
      <w:r>
        <w:rPr>
          <w:rFonts w:ascii="Arial" w:cs="Arial" w:eastAsia="Arial" w:hAnsi="Arial"/>
          <w:sz w:val="22"/>
          <w:szCs w:val="22"/>
        </w:rPr>
        <w:t xml:space="preserve">La oportunidad estaba delante: con el tiempo, muchas empresas comenzaron a acercarse a Pegasus diciéndoles 'tenemos políticas, tenemos valores, pero no conseguimos que la gente los viva'. El mismo miedo que limita a una persona también puede limitar a una organización. Así nació Indiferente.</w:t>
      </w:r>
    </w:p>
    <w:p>
      <w:pPr>
        <w:spacing w:before="120" w:after="120"/>
      </w:pPr>
      <w:r>
        <w:t xml:space="preserve"/>
      </w:r>
    </w:p>
    <w:p>
      <w:pPr>
        <w:jc w:val="left"/>
      </w:pPr>
      <w:r>
        <w:rPr>
          <w:rFonts w:ascii="Arial" w:cs="Arial" w:eastAsia="Arial" w:hAnsi="Arial"/>
          <w:i/>
          <w:iCs/>
          <w:color w:val="1A1A2E"/>
          <w:sz w:val="22"/>
          <w:szCs w:val="22"/>
        </w:rPr>
        <w:t xml:space="preserve">"El mismo miedo que limita a una persona, también puede limitar a una organización. Indiferente ayuda a las empresas a transformar su cultura desde dentro: pasando del miedo a la autenticidad, de la norma al comportamiento, y del discurso a la experiencia real."</w:t>
      </w:r>
    </w:p>
    <w:p>
      <w:pPr>
        <w:spacing w:before="120" w:after="120"/>
      </w:pPr>
      <w:r>
        <w:t xml:space="preserve"/>
      </w:r>
    </w:p>
    <w:p>
      <w:pPr>
        <w:spacing w:before="80" w:after="120"/>
        <w:jc w:val="both"/>
      </w:pPr>
      <w:r>
        <w:rPr>
          <w:rFonts w:ascii="Arial" w:cs="Arial" w:eastAsia="Arial" w:hAnsi="Arial"/>
          <w:sz w:val="22"/>
          <w:szCs w:val="22"/>
        </w:rPr>
        <w:t xml:space="preserve">El nombre 'Indiferente' es una provocación conceptual brillante: no significa que la organización sea indiferente a la diversidad. Significa que aspira a una sociedad y unas organizaciones donde la diferencia sea tan normal que nos resulte indiferente.</w:t>
      </w:r>
    </w:p>
    <w:p>
      <w:pPr>
        <w:pStyle w:val="Heading2"/>
        <w:spacing w:before="360" w:after="180"/>
      </w:pPr>
      <w:bookmarkStart w:id="5166" w:name="section_sec9_2"/>
      <w:bookmarkEnd w:id="5166"/>
      <w:r>
        <w:rPr>
          <w:rFonts w:ascii="Arial" w:cs="Arial" w:eastAsia="Arial" w:hAnsi="Arial"/>
          <w:b/>
          <w:bCs/>
          <w:color w:val="2E75B6"/>
          <w:sz w:val="28"/>
          <w:szCs w:val="28"/>
        </w:rPr>
        <w:t xml:space="preserve">7.2 Diferencial de Indiferente respecto al mercado</w:t>
      </w:r>
    </w:p>
    <w:p>
      <w:pPr>
        <w:spacing w:before="80" w:after="120"/>
        <w:jc w:val="both"/>
      </w:pPr>
      <w:r>
        <w:rPr>
          <w:rFonts w:ascii="Arial" w:cs="Arial" w:eastAsia="Arial" w:hAnsi="Arial"/>
          <w:sz w:val="22"/>
          <w:szCs w:val="22"/>
        </w:rPr>
        <w:t xml:space="preserve">El mercado de consultoría en diversidad e inclusión es creciente, especialmente por la presión regulatoria (obligación del 2% de contratos con personas con discapacidad en empresas de más de 50 trabajadores) y la sensibilidad ESG corporativa. Sin embargo, la mayoría de consultoras abordan la diversidad desde la racionalidad: políticas, procesos, métricas.</w:t>
      </w:r>
    </w:p>
    <w:p>
      <w:pPr>
        <w:spacing w:before="120" w:after="120"/>
      </w:pPr>
      <w:r>
        <w:t xml:space="preserve"/>
      </w:r>
    </w:p>
    <w:p>
      <w:pPr>
        <w:spacing w:before="80" w:after="120"/>
        <w:jc w:val="both"/>
      </w:pPr>
      <w:r>
        <w:rPr>
          <w:rFonts w:ascii="Arial" w:cs="Arial" w:eastAsia="Arial" w:hAnsi="Arial"/>
          <w:sz w:val="22"/>
          <w:szCs w:val="22"/>
        </w:rPr>
        <w:t xml:space="preserve">Indiferente aborda la diversidad desde la emocionalidad. Su diferencial es la metodología que combina humor, juego e inteligencia emocional para que el aprendizaje no se memorice sino se sienta. Ninguna otra consultora del mercado aborda la diversidad desde este paradigma emocional.</w:t>
      </w:r>
    </w:p>
    <w:p>
      <w:pPr>
        <w:spacing w:before="120" w:after="120"/>
      </w:pPr>
      <w:r>
        <w:t xml:space="preserve"/>
      </w:r>
    </w:p>
    <w:p>
      <w:pPr>
        <w:spacing w:before="80" w:after="120"/>
        <w:jc w:val="both"/>
      </w:pPr>
      <w:r>
        <w:rPr>
          <w:rFonts w:ascii="Arial" w:cs="Arial" w:eastAsia="Arial" w:hAnsi="Arial"/>
          <w:sz w:val="22"/>
          <w:szCs w:val="22"/>
        </w:rPr>
        <w:t xml:space="preserve">Adicionalmente, detrás de Indiferente está Fundación Pegasus, lo que le aporta credibilidad vivencial y un impacto real: cada euro de Indiferente financia directamente terapias y deporte inclusivo para familias con discapacidad.</w:t>
      </w:r>
    </w:p>
    <w:p>
      <w:pPr>
        <w:pStyle w:val="Heading2"/>
        <w:spacing w:before="360" w:after="180"/>
      </w:pPr>
      <w:bookmarkStart w:id="9466" w:name="section_sec9_3"/>
      <w:bookmarkEnd w:id="9466"/>
      <w:r>
        <w:rPr>
          <w:rFonts w:ascii="Arial" w:cs="Arial" w:eastAsia="Arial" w:hAnsi="Arial"/>
          <w:b/>
          <w:bCs/>
          <w:color w:val="2E75B6"/>
          <w:sz w:val="28"/>
          <w:szCs w:val="28"/>
        </w:rPr>
        <w:t xml:space="preserve">7.3 Clientes y segmentos</w:t>
      </w:r>
    </w:p>
    <w:p>
      <w:pPr>
        <w:spacing w:before="80" w:after="120"/>
        <w:jc w:val="both"/>
      </w:pPr>
      <w:r>
        <w:rPr>
          <w:rFonts w:ascii="Arial" w:cs="Arial" w:eastAsia="Arial" w:hAnsi="Arial"/>
          <w:sz w:val="22"/>
          <w:szCs w:val="22"/>
        </w:rPr>
        <w:t xml:space="preserve">Indiferente opera con dos segmentos de clientes distintos, con necesidades y formatos de servicio diferentes:</w:t>
      </w:r>
    </w:p>
    <w:p>
      <w:pPr>
        <w:spacing w:before="120" w:after="120"/>
      </w:pPr>
      <w:r>
        <w:t xml:space="preserve"/>
      </w:r>
    </w:p>
    <w:p>
      <w:pPr>
        <w:pStyle w:val="Heading3"/>
        <w:spacing w:before="240" w:after="120"/>
      </w:pPr>
      <w:r>
        <w:rPr>
          <w:rFonts w:ascii="Arial" w:cs="Arial" w:eastAsia="Arial" w:hAnsi="Arial"/>
          <w:b/>
          <w:bCs/>
          <w:color w:val="333333"/>
          <w:sz w:val="24"/>
          <w:szCs w:val="24"/>
        </w:rPr>
        <w:t xml:space="preserve">Empresas privadas</w:t>
      </w:r>
    </w:p>
    <w:p>
      <w:pPr>
        <w:spacing w:before="80" w:after="120"/>
        <w:jc w:val="both"/>
      </w:pPr>
      <w:r>
        <w:rPr>
          <w:rFonts w:ascii="Arial" w:cs="Arial" w:eastAsia="Arial" w:hAnsi="Arial"/>
          <w:sz w:val="22"/>
          <w:szCs w:val="22"/>
        </w:rPr>
        <w:t xml:space="preserve">Empresas que quieren trabajar su cultura de diversidad e inclusión, cumplir con obligaciones legales de integración de personas con discapacidad, o desarrollar sus valores corporativos de forma genuina y no cosmética.</w:t>
      </w:r>
    </w:p>
    <w:p>
      <w:pPr>
        <w:spacing w:before="120" w:after="120"/>
      </w:pPr>
      <w:r>
        <w:t xml:space="preserve"/>
      </w:r>
    </w:p>
    <w:p>
      <w:pPr>
        <w:spacing w:before="80" w:after="120"/>
        <w:jc w:val="both"/>
      </w:pPr>
      <w:r>
        <w:rPr>
          <w:rFonts w:ascii="Arial" w:cs="Arial" w:eastAsia="Arial" w:hAnsi="Arial"/>
          <w:sz w:val="22"/>
          <w:szCs w:val="22"/>
        </w:rPr>
        <w:t xml:space="preserve">Clientes de referencia: Santander (programa 'Inigualables' con despliegue a ~40.000 empleados), PepsiCo, Sprinter, LATAM, Cepsa, Leroy Merlin, Endesa, Iberdrola.</w:t>
      </w:r>
    </w:p>
    <w:p>
      <w:pPr>
        <w:pStyle w:val="Heading3"/>
        <w:spacing w:before="240" w:after="120"/>
      </w:pPr>
      <w:r>
        <w:rPr>
          <w:rFonts w:ascii="Arial" w:cs="Arial" w:eastAsia="Arial" w:hAnsi="Arial"/>
          <w:b/>
          <w:bCs/>
          <w:color w:val="333333"/>
          <w:sz w:val="24"/>
          <w:szCs w:val="24"/>
        </w:rPr>
        <w:t xml:space="preserve">Administraciones Públicas y Ayuntamientos</w:t>
      </w:r>
    </w:p>
    <w:p>
      <w:pPr>
        <w:spacing w:before="80" w:after="120"/>
        <w:jc w:val="both"/>
      </w:pPr>
      <w:r>
        <w:rPr>
          <w:rFonts w:ascii="Arial" w:cs="Arial" w:eastAsia="Arial" w:hAnsi="Arial"/>
          <w:sz w:val="22"/>
          <w:szCs w:val="22"/>
        </w:rPr>
        <w:t xml:space="preserve">Municipios que quieren diseñar e implementar planes de inclusión, campañas de comunicación institucional, formaciones para sus equipos, programas educativos de sensibilización, o actividades de ocio y deporte inclusivo para sus ciudadanos.</w:t>
      </w:r>
    </w:p>
    <w:p>
      <w:pPr>
        <w:spacing w:before="120" w:after="120"/>
      </w:pPr>
      <w:r>
        <w:t xml:space="preserve"/>
      </w:r>
    </w:p>
    <w:p>
      <w:pPr>
        <w:spacing w:before="80" w:after="120"/>
        <w:jc w:val="both"/>
      </w:pPr>
      <w:r>
        <w:rPr>
          <w:rFonts w:ascii="Arial" w:cs="Arial" w:eastAsia="Arial" w:hAnsi="Arial"/>
          <w:sz w:val="22"/>
          <w:szCs w:val="22"/>
        </w:rPr>
        <w:t xml:space="preserve">Clientes de referencia: Federación Madrileña de Municipios (FMM), Comunidad de Madrid, Ayuntamiento de Arganda del Rey, Torrejón de Ardoz, San Agustín de Guadalix, Tres Cantos, Paracuellos del Jarama, entre otros.</w:t>
      </w:r>
    </w:p>
    <w:p>
      <w:pPr>
        <w:pStyle w:val="Heading2"/>
        <w:spacing w:before="360" w:after="180"/>
      </w:pPr>
      <w:bookmarkStart w:id="2520" w:name="section_sec9_4"/>
      <w:bookmarkEnd w:id="2520"/>
      <w:r>
        <w:rPr>
          <w:rFonts w:ascii="Arial" w:cs="Arial" w:eastAsia="Arial" w:hAnsi="Arial"/>
          <w:b/>
          <w:bCs/>
          <w:color w:val="2E75B6"/>
          <w:sz w:val="28"/>
          <w:szCs w:val="28"/>
        </w:rPr>
        <w:t xml:space="preserve">7.4 Servicios para empresas</w:t>
      </w:r>
    </w:p>
    <w:p>
      <w:pPr>
        <w:spacing w:before="120" w:after="120"/>
      </w:pPr>
      <w:r>
        <w:t xml:space="preserve"/>
      </w:r>
    </w:p>
    <w:p>
      <w:pPr>
        <w:pStyle w:val="Heading3"/>
        <w:spacing w:before="240" w:after="120"/>
      </w:pPr>
      <w:r>
        <w:rPr>
          <w:rFonts w:ascii="Arial" w:cs="Arial" w:eastAsia="Arial" w:hAnsi="Arial"/>
          <w:b/>
          <w:bCs/>
          <w:color w:val="333333"/>
          <w:sz w:val="24"/>
          <w:szCs w:val="24"/>
        </w:rPr>
        <w:t xml:space="preserve">A. Consultoría en Diversidad e Inclusión</w:t>
      </w:r>
    </w:p>
    <w:p>
      <w:pPr>
        <w:spacing w:before="80" w:after="120"/>
        <w:jc w:val="both"/>
      </w:pPr>
      <w:r>
        <w:rPr>
          <w:rFonts w:ascii="Arial" w:cs="Arial" w:eastAsia="Arial" w:hAnsi="Arial"/>
          <w:sz w:val="22"/>
          <w:szCs w:val="22"/>
        </w:rPr>
        <w:t xml:space="preserve">Proceso de tres fases: (1) Diagnóstico y escucha para entender la situación de partida, (2) Diseño de plan de acción para convertir valores en comportamiento medible, (3) Implementación para asegurar impacto real y sostenibilidad del cambio.</w:t>
      </w:r>
    </w:p>
    <w:p>
      <w:pPr>
        <w:spacing w:before="120" w:after="120"/>
      </w:pPr>
      <w:r>
        <w:t xml:space="preserve"/>
      </w:r>
    </w:p>
    <w:p>
      <w:pPr>
        <w:spacing w:before="80" w:after="120"/>
        <w:jc w:val="both"/>
      </w:pPr>
      <w:r>
        <w:rPr>
          <w:rFonts w:ascii="Arial" w:cs="Arial" w:eastAsia="Arial" w:hAnsi="Arial"/>
          <w:sz w:val="22"/>
          <w:szCs w:val="22"/>
        </w:rPr>
        <w:t xml:space="preserve">Ejemplos de trabajos realizados: creación y desarrollo de ERGs, diseño de procesos de selección inclusivos, implementación de programas de onboarding inclusivos, sensibilización y formación del personal, desarrollo de políticas de promoción interna equitativas.</w:t>
      </w:r>
    </w:p>
    <w:p>
      <w:pPr>
        <w:pStyle w:val="Heading3"/>
        <w:spacing w:before="240" w:after="120"/>
      </w:pPr>
      <w:r>
        <w:rPr>
          <w:rFonts w:ascii="Arial" w:cs="Arial" w:eastAsia="Arial" w:hAnsi="Arial"/>
          <w:b/>
          <w:bCs/>
          <w:color w:val="333333"/>
          <w:sz w:val="24"/>
          <w:szCs w:val="24"/>
        </w:rPr>
        <w:t xml:space="preserve">B. Formación y Desarrollo</w:t>
      </w:r>
    </w:p>
    <w:p>
      <w:pPr>
        <w:spacing w:before="80" w:after="120"/>
        <w:jc w:val="both"/>
      </w:pPr>
      <w:r>
        <w:rPr>
          <w:rFonts w:ascii="Arial" w:cs="Arial" w:eastAsia="Arial" w:hAnsi="Arial"/>
          <w:sz w:val="22"/>
          <w:szCs w:val="22"/>
        </w:rPr>
        <w:t xml:space="preserve">Programas formativos que emplean la metodología Pegasus (humor, juego, inteligencia emocional). Los formatos principales son:</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Conferencia 'Lo mío no es normal, pero lo tuyo tampoco' de David Rodríguez: precio por conferencia 7.000€ (todo va a la fundación). Empresas donde ha actuado: Santander, PepsiCo, Sprinter, LATAM, Cepsa, Leroy Merlin, Endesa, Iberdrola.</w:t>
      </w:r>
    </w:p>
    <w:p>
      <w:pPr>
        <w:pStyle w:val="ListParagraph"/>
        <w:numPr>
          <w:ilvl w:val="0"/>
          <w:numId w:val="2"/>
        </w:numPr>
        <w:spacing w:before="60" w:after="60"/>
      </w:pPr>
      <w:r>
        <w:rPr>
          <w:rFonts w:ascii="Arial" w:cs="Arial" w:eastAsia="Arial" w:hAnsi="Arial"/>
          <w:b w:val="false"/>
          <w:bCs w:val="false"/>
          <w:sz w:val="22"/>
          <w:szCs w:val="22"/>
        </w:rPr>
        <w:t xml:space="preserve">Formación en Sesgos Inconscientes: experiencia vivencial de 1 hora donde los participantes descubren sus propios sesgos sin que nadie se los señale. Formato presencial o híbrido, grupos hasta 25 personas.</w:t>
      </w:r>
    </w:p>
    <w:p>
      <w:pPr>
        <w:pStyle w:val="ListParagraph"/>
        <w:numPr>
          <w:ilvl w:val="0"/>
          <w:numId w:val="2"/>
        </w:numPr>
        <w:spacing w:before="60" w:after="60"/>
      </w:pPr>
      <w:r>
        <w:rPr>
          <w:rFonts w:ascii="Arial" w:cs="Arial" w:eastAsia="Arial" w:hAnsi="Arial"/>
          <w:b w:val="false"/>
          <w:bCs w:val="false"/>
          <w:sz w:val="22"/>
          <w:szCs w:val="22"/>
        </w:rPr>
        <w:t xml:space="preserve">Formación en Resolución de Conflictos: dinámica con 'efecto caballo de Troya', donde un giro final cambia toda la perspectiva. 1 hora, presencial o híbrido.</w:t>
      </w:r>
    </w:p>
    <w:p>
      <w:pPr>
        <w:pStyle w:val="ListParagraph"/>
        <w:numPr>
          <w:ilvl w:val="0"/>
          <w:numId w:val="2"/>
        </w:numPr>
        <w:spacing w:before="60" w:after="60"/>
      </w:pPr>
      <w:r>
        <w:rPr>
          <w:rFonts w:ascii="Arial" w:cs="Arial" w:eastAsia="Arial" w:hAnsi="Arial"/>
          <w:b w:val="false"/>
          <w:bCs w:val="false"/>
          <w:sz w:val="22"/>
          <w:szCs w:val="22"/>
        </w:rPr>
        <w:t xml:space="preserve">E-learning 'El Nuevo Paradigma de la Discapacidad': 100% online, compatible con plataformas corporativas (SCORM). También se crean e-learnings a medida.</w:t>
      </w:r>
    </w:p>
    <w:p>
      <w:pPr>
        <w:pStyle w:val="Heading3"/>
        <w:spacing w:before="240" w:after="120"/>
      </w:pPr>
      <w:r>
        <w:rPr>
          <w:rFonts w:ascii="Arial" w:cs="Arial" w:eastAsia="Arial" w:hAnsi="Arial"/>
          <w:b/>
          <w:bCs/>
          <w:color w:val="333333"/>
          <w:sz w:val="24"/>
          <w:szCs w:val="24"/>
        </w:rPr>
        <w:t xml:space="preserve">C. Comunicación y Sensibilización</w:t>
      </w:r>
    </w:p>
    <w:p>
      <w:pPr>
        <w:spacing w:before="80" w:after="120"/>
        <w:jc w:val="both"/>
      </w:pPr>
      <w:r>
        <w:rPr>
          <w:rFonts w:ascii="Arial" w:cs="Arial" w:eastAsia="Arial" w:hAnsi="Arial"/>
          <w:sz w:val="22"/>
          <w:szCs w:val="22"/>
        </w:rPr>
        <w:t xml:space="preserve">Diseño de campañas, narrativas y eventos que hacen visible la diversidad y la convierten en orgullo compartido. Ejemplos: Semana de la Diversidad, campañas del 3 de diciembre, comunicación de marca empleadora inclusiva.</w:t>
      </w:r>
    </w:p>
    <w:p>
      <w:pPr>
        <w:pStyle w:val="Heading3"/>
        <w:spacing w:before="240" w:after="120"/>
      </w:pPr>
      <w:r>
        <w:rPr>
          <w:rFonts w:ascii="Arial" w:cs="Arial" w:eastAsia="Arial" w:hAnsi="Arial"/>
          <w:b/>
          <w:bCs/>
          <w:color w:val="333333"/>
          <w:sz w:val="24"/>
          <w:szCs w:val="24"/>
        </w:rPr>
        <w:t xml:space="preserve">D. Plan Bienestar Corporativo</w:t>
      </w:r>
    </w:p>
    <w:p>
      <w:pPr>
        <w:spacing w:before="80" w:after="120"/>
        <w:jc w:val="both"/>
      </w:pPr>
      <w:r>
        <w:rPr>
          <w:rFonts w:ascii="Arial" w:cs="Arial" w:eastAsia="Arial" w:hAnsi="Arial"/>
          <w:sz w:val="22"/>
          <w:szCs w:val="22"/>
        </w:rPr>
        <w:t xml:space="preserve">La empresa contrata un plan anual de bienestar emocional para sus empleados. Los trabajadores (o familiares directos) pueden reservar sesiones individuales online con los psicólogos de Pegasus, con el coste subvencionado de forma compartida entre empresa y trabajador. Este servicio está en fase de diseño/MVP y aún no ha sido lanzado al mercado.</w:t>
      </w:r>
    </w:p>
    <w:p>
      <w:pPr>
        <w:pStyle w:val="Heading2"/>
        <w:spacing w:before="360" w:after="180"/>
      </w:pPr>
      <w:bookmarkStart w:id="928" w:name="section_sec9_5"/>
      <w:bookmarkEnd w:id="928"/>
      <w:r>
        <w:rPr>
          <w:rFonts w:ascii="Arial" w:cs="Arial" w:eastAsia="Arial" w:hAnsi="Arial"/>
          <w:b/>
          <w:bCs/>
          <w:color w:val="2E75B6"/>
          <w:sz w:val="28"/>
          <w:szCs w:val="28"/>
        </w:rPr>
        <w:t xml:space="preserve">7.5 Servicios para ayuntamientos</w:t>
      </w:r>
    </w:p>
    <w:p>
      <w:pPr>
        <w:spacing w:before="80" w:after="120"/>
        <w:jc w:val="both"/>
      </w:pPr>
      <w:r>
        <w:rPr>
          <w:rFonts w:ascii="Arial" w:cs="Arial" w:eastAsia="Arial" w:hAnsi="Arial"/>
          <w:sz w:val="22"/>
          <w:szCs w:val="22"/>
        </w:rPr>
        <w:t xml:space="preserve">Para los ayuntamientos, Indiferente actúa como un proveedor integral de inclusión municipal, capaz de trabajar con diferentes concejalías:</w:t>
      </w:r>
    </w:p>
    <w:p>
      <w:pPr>
        <w:spacing w:before="120" w:after="120"/>
      </w:pPr>
      <w:r>
        <w:t xml:space="preserve"/>
      </w:r>
    </w:p>
    <w:p>
      <w:r>
        <w:rPr>
          <w:rFonts w:ascii="Arial" w:cs="Arial" w:eastAsia="Arial" w:hAnsi="Arial"/>
          <w:b/>
          <w:bCs/>
          <w:color w:val="FFFFFF"/>
          <w:sz w:val="20"/>
          <w:szCs w:val="20"/>
        </w:rPr>
        <w:t xml:space="preserve">Concejalía</w:t>
      </w:r>
    </w:p>
    <w:p>
      <w:r>
        <w:rPr>
          <w:rFonts w:ascii="Arial" w:cs="Arial" w:eastAsia="Arial" w:hAnsi="Arial"/>
          <w:b/>
          <w:bCs/>
          <w:color w:val="FFFFFF"/>
          <w:sz w:val="20"/>
          <w:szCs w:val="20"/>
        </w:rPr>
        <w:t xml:space="preserve">Servicios principales</w:t>
      </w:r>
    </w:p>
    <w:p>
      <w:r>
        <w:rPr>
          <w:rFonts w:ascii="Arial" w:cs="Arial" w:eastAsia="Arial" w:hAnsi="Arial"/>
          <w:b w:val="false"/>
          <w:bCs w:val="false"/>
          <w:color w:val="1A1A1A"/>
          <w:sz w:val="20"/>
          <w:szCs w:val="20"/>
        </w:rPr>
        <w:t xml:space="preserve">Servicios Sociales</w:t>
      </w:r>
    </w:p>
    <w:p>
      <w:r>
        <w:rPr>
          <w:rFonts w:ascii="Arial" w:cs="Arial" w:eastAsia="Arial" w:hAnsi="Arial"/>
          <w:b w:val="false"/>
          <w:bCs w:val="false"/>
          <w:color w:val="1A1A1A"/>
          <w:sz w:val="20"/>
          <w:szCs w:val="20"/>
        </w:rPr>
        <w:t xml:space="preserve">TPT, ocio inclusivo, campamentos inclusivos, talleres emocionales para familias.</w:t>
      </w:r>
    </w:p>
    <w:p>
      <w:r>
        <w:rPr>
          <w:rFonts w:ascii="Arial" w:cs="Arial" w:eastAsia="Arial" w:hAnsi="Arial"/>
          <w:b w:val="false"/>
          <w:bCs w:val="false"/>
          <w:color w:val="1A1A1A"/>
          <w:sz w:val="20"/>
          <w:szCs w:val="20"/>
        </w:rPr>
        <w:t xml:space="preserve">Deportes</w:t>
      </w:r>
    </w:p>
    <w:p>
      <w:r>
        <w:rPr>
          <w:rFonts w:ascii="Arial" w:cs="Arial" w:eastAsia="Arial" w:hAnsi="Arial"/>
          <w:b w:val="false"/>
          <w:bCs w:val="false"/>
          <w:color w:val="1A1A1A"/>
          <w:sz w:val="20"/>
          <w:szCs w:val="20"/>
        </w:rPr>
        <w:t xml:space="preserve">PiscinaSUS, fútbol inclusivo, multideporte, eventos deportivos inclusivos.</w:t>
      </w:r>
    </w:p>
    <w:p>
      <w:r>
        <w:rPr>
          <w:rFonts w:ascii="Arial" w:cs="Arial" w:eastAsia="Arial" w:hAnsi="Arial"/>
          <w:b w:val="false"/>
          <w:bCs w:val="false"/>
          <w:color w:val="1A1A1A"/>
          <w:sz w:val="20"/>
          <w:szCs w:val="20"/>
        </w:rPr>
        <w:t xml:space="preserve">Igualdad, Diversidad y Familia</w:t>
      </w:r>
    </w:p>
    <w:p>
      <w:r>
        <w:rPr>
          <w:rFonts w:ascii="Arial" w:cs="Arial" w:eastAsia="Arial" w:hAnsi="Arial"/>
          <w:b w:val="false"/>
          <w:bCs w:val="false"/>
          <w:color w:val="1A1A1A"/>
          <w:sz w:val="20"/>
          <w:szCs w:val="20"/>
        </w:rPr>
        <w:t xml:space="preserve">Planes municipales de discapacidad, campañas comunicación institucional, formaciones.</w:t>
      </w:r>
    </w:p>
    <w:p>
      <w:r>
        <w:rPr>
          <w:rFonts w:ascii="Arial" w:cs="Arial" w:eastAsia="Arial" w:hAnsi="Arial"/>
          <w:b w:val="false"/>
          <w:bCs w:val="false"/>
          <w:color w:val="1A1A1A"/>
          <w:sz w:val="20"/>
          <w:szCs w:val="20"/>
        </w:rPr>
        <w:t xml:space="preserve">Educación</w:t>
      </w:r>
    </w:p>
    <w:p>
      <w:r>
        <w:rPr>
          <w:rFonts w:ascii="Arial" w:cs="Arial" w:eastAsia="Arial" w:hAnsi="Arial"/>
          <w:b w:val="false"/>
          <w:bCs w:val="false"/>
          <w:color w:val="1A1A1A"/>
          <w:sz w:val="20"/>
          <w:szCs w:val="20"/>
        </w:rPr>
        <w:t xml:space="preserve">Programas educativos de sensibilización, conferencias de David Rodríguez.</w:t>
      </w:r>
    </w:p>
    <w:p>
      <w:r>
        <w:rPr>
          <w:rFonts w:ascii="Arial" w:cs="Arial" w:eastAsia="Arial" w:hAnsi="Arial"/>
          <w:b w:val="false"/>
          <w:bCs w:val="false"/>
          <w:color w:val="1A1A1A"/>
          <w:sz w:val="20"/>
          <w:szCs w:val="20"/>
        </w:rPr>
        <w:t xml:space="preserve">Cultura y Festejos</w:t>
      </w:r>
    </w:p>
    <w:p>
      <w:r>
        <w:rPr>
          <w:rFonts w:ascii="Arial" w:cs="Arial" w:eastAsia="Arial" w:hAnsi="Arial"/>
          <w:b w:val="false"/>
          <w:bCs w:val="false"/>
          <w:color w:val="1A1A1A"/>
          <w:sz w:val="20"/>
          <w:szCs w:val="20"/>
        </w:rPr>
        <w:t xml:space="preserve">Restauración inclusiva Pegasus x Black Bull para eventos municipales.</w:t>
      </w:r>
    </w:p>
    <w:p>
      <w:pPr>
        <w:spacing w:before="120" w:after="120"/>
      </w:pPr>
      <w:r>
        <w:t xml:space="preserve"/>
      </w:r>
    </w:p>
    <w:p>
      <w:pPr>
        <w:spacing w:before="80" w:after="120"/>
        <w:jc w:val="both"/>
      </w:pPr>
      <w:r>
        <w:rPr>
          <w:rFonts w:ascii="Arial" w:cs="Arial" w:eastAsia="Arial" w:hAnsi="Arial"/>
          <w:sz w:val="22"/>
          <w:szCs w:val="22"/>
        </w:rPr>
        <w:t xml:space="preserve">Servicios destacados para ayuntamientos:</w:t>
      </w:r>
    </w:p>
    <w:p>
      <w:pPr>
        <w:pStyle w:val="ListParagraph"/>
        <w:numPr>
          <w:ilvl w:val="0"/>
          <w:numId w:val="2"/>
        </w:numPr>
        <w:spacing w:before="60" w:after="60"/>
      </w:pPr>
      <w:r>
        <w:rPr>
          <w:rFonts w:ascii="Arial" w:cs="Arial" w:eastAsia="Arial" w:hAnsi="Arial"/>
          <w:b w:val="false"/>
          <w:bCs w:val="false"/>
          <w:sz w:val="22"/>
          <w:szCs w:val="22"/>
        </w:rPr>
        <w:t xml:space="preserve">Talleres Emocionales para Familias 'Lo que nadie te cuenta': programa de intervención emocional para familias que acaban de recibir un diagnóstico de discapacidad. Trabaja el duelo, la culpa, la aceptación y la reconstrucción del vínculo familiar. Metodología propia registrada por Fundación Pegasus.</w:t>
      </w:r>
    </w:p>
    <w:p>
      <w:pPr>
        <w:pStyle w:val="ListParagraph"/>
        <w:numPr>
          <w:ilvl w:val="0"/>
          <w:numId w:val="2"/>
        </w:numPr>
        <w:spacing w:before="60" w:after="60"/>
      </w:pPr>
      <w:r>
        <w:rPr>
          <w:rFonts w:ascii="Arial" w:cs="Arial" w:eastAsia="Arial" w:hAnsi="Arial"/>
          <w:b w:val="false"/>
          <w:bCs w:val="false"/>
          <w:sz w:val="22"/>
          <w:szCs w:val="22"/>
        </w:rPr>
        <w:t xml:space="preserve">Campamentos Inclusivos: con monitores formados por terapeutas, psicólogos y profesionales del deporte. Grupos pequeños, atención individualizada.</w:t>
      </w:r>
    </w:p>
    <w:p>
      <w:pPr>
        <w:pStyle w:val="ListParagraph"/>
        <w:numPr>
          <w:ilvl w:val="0"/>
          <w:numId w:val="2"/>
        </w:numPr>
        <w:spacing w:before="60" w:after="60"/>
      </w:pPr>
      <w:r>
        <w:rPr>
          <w:rFonts w:ascii="Arial" w:cs="Arial" w:eastAsia="Arial" w:hAnsi="Arial"/>
          <w:b w:val="false"/>
          <w:bCs w:val="false"/>
          <w:sz w:val="22"/>
          <w:szCs w:val="22"/>
        </w:rPr>
        <w:t xml:space="preserve">Diseño de Planes Municipales de Discapacidad: diagnóstico, diseño de hoja de ruta, acompañamiento técnico.</w:t>
      </w:r>
    </w:p>
    <w:p>
      <w:pPr>
        <w:pStyle w:val="Heading2"/>
        <w:spacing w:before="360" w:after="180"/>
      </w:pPr>
      <w:bookmarkStart w:id="5359" w:name="section_sec9_6"/>
      <w:bookmarkEnd w:id="5359"/>
      <w:r>
        <w:rPr>
          <w:rFonts w:ascii="Arial" w:cs="Arial" w:eastAsia="Arial" w:hAnsi="Arial"/>
          <w:b/>
          <w:bCs/>
          <w:color w:val="2E75B6"/>
          <w:sz w:val="28"/>
          <w:szCs w:val="28"/>
        </w:rPr>
        <w:t xml:space="preserve">7.6 Resultados financieros y reto de recurrencia</w:t>
      </w:r>
    </w:p>
    <w:p>
      <w:pPr>
        <w:spacing w:before="80" w:after="120"/>
        <w:jc w:val="both"/>
      </w:pPr>
      <w:r>
        <w:rPr>
          <w:rFonts w:ascii="Arial" w:cs="Arial" w:eastAsia="Arial" w:hAnsi="Arial"/>
          <w:sz w:val="22"/>
          <w:szCs w:val="22"/>
        </w:rPr>
        <w:t xml:space="preserve">Indiferente facturó 234.430€ en 2025, con un patrón de ingresos muy irregular (meses en cero y picos en diciembre de 136.165€ y septiembre de 62.200€). En 2025 sufrió una caída estratégica del -9% respecto a 2024, consecuencia de un reposicionamiento deliberado hacia el canal institucional.</w:t>
      </w:r>
    </w:p>
    <w:p>
      <w:pPr>
        <w:spacing w:before="120" w:after="120"/>
      </w:pPr>
      <w:r>
        <w:t xml:space="preserve"/>
      </w:r>
    </w:p>
    <w:p>
      <w:pPr>
        <w:spacing w:before="80" w:after="120"/>
        <w:jc w:val="both"/>
      </w:pPr>
      <w:r>
        <w:rPr>
          <w:rFonts w:ascii="Arial" w:cs="Arial" w:eastAsia="Arial" w:hAnsi="Arial"/>
          <w:sz w:val="22"/>
          <w:szCs w:val="22"/>
        </w:rPr>
        <w:t xml:space="preserve">El presupuesto 2026 es de 626.346€ (+167% vs 2025), con los dos grandes contratos institucionales como motores: FMM (210.600€, 33,6%) y Comunidad de Madrid (150.000€, 23,9%).</w:t>
      </w:r>
    </w:p>
    <w:p>
      <w:pPr>
        <w:spacing w:before="120" w:after="120"/>
      </w:pPr>
      <w:r>
        <w:t xml:space="preserve"/>
      </w:r>
    </w:p>
    <w:p>
      <w:pPr>
        <w:spacing w:before="80" w:after="120"/>
        <w:jc w:val="both"/>
      </w:pPr>
      <w:r>
        <w:rPr>
          <w:rFonts w:ascii="Arial" w:cs="Arial" w:eastAsia="Arial" w:hAnsi="Arial"/>
          <w:sz w:val="22"/>
          <w:szCs w:val="22"/>
        </w:rPr>
        <w:t xml:space="preserve">El principal reto estructural de Indiferente es la ausencia de ingresos recurrentes. A diferencia de TPT e IS, que tienen suscripciones mensuales predecibles, Indiferente trabaja por proyectos ad hoc. El Plan Bienestar Corporativo es el intento más articulado de resolver este problema, pero aún no tiene MVP lanzado.</w:t>
      </w:r>
    </w:p>
    <w:p>
      <w:pPr>
        <w:pStyle w:val="Heading2"/>
        <w:spacing w:before="360" w:after="180"/>
      </w:pPr>
      <w:bookmarkStart w:id="4054" w:name="section_sec9_7"/>
      <w:bookmarkEnd w:id="4054"/>
      <w:r>
        <w:rPr>
          <w:rFonts w:ascii="Arial" w:cs="Arial" w:eastAsia="Arial" w:hAnsi="Arial"/>
          <w:b/>
          <w:bCs/>
          <w:color w:val="2E75B6"/>
          <w:sz w:val="28"/>
          <w:szCs w:val="28"/>
        </w:rPr>
        <w:t xml:space="preserve">7.7 El caso Santander: referencia de escala</w:t>
      </w:r>
    </w:p>
    <w:p>
      <w:pPr>
        <w:spacing w:before="80" w:after="120"/>
        <w:jc w:val="both"/>
      </w:pPr>
      <w:r>
        <w:rPr>
          <w:rFonts w:ascii="Arial" w:cs="Arial" w:eastAsia="Arial" w:hAnsi="Arial"/>
          <w:sz w:val="22"/>
          <w:szCs w:val="22"/>
        </w:rPr>
        <w:t xml:space="preserve">El proyecto 'Inigualables' con el Banco Santander es el caso de éxito más significativo de Indiferente hasta la fecha. El reto era que toda la plantilla pudiera ser ella misma en el trabajo. La implementación se estructuró en tres niveles:</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Alta Dirección: conferencias presenciales de David Rodríguez para la cúpula directiva.</w:t>
      </w:r>
    </w:p>
    <w:p>
      <w:pPr>
        <w:pStyle w:val="ListParagraph"/>
        <w:numPr>
          <w:ilvl w:val="0"/>
          <w:numId w:val="2"/>
        </w:numPr>
        <w:spacing w:before="60" w:after="60"/>
      </w:pPr>
      <w:r>
        <w:rPr>
          <w:rFonts w:ascii="Arial" w:cs="Arial" w:eastAsia="Arial" w:hAnsi="Arial"/>
          <w:b w:val="false"/>
          <w:bCs w:val="false"/>
          <w:sz w:val="22"/>
          <w:szCs w:val="22"/>
        </w:rPr>
        <w:t xml:space="preserve">Mandos intermedios: conferencias online de David a directores regionales.</w:t>
      </w:r>
    </w:p>
    <w:p>
      <w:pPr>
        <w:pStyle w:val="ListParagraph"/>
        <w:numPr>
          <w:ilvl w:val="0"/>
          <w:numId w:val="2"/>
        </w:numPr>
        <w:spacing w:before="60" w:after="60"/>
      </w:pPr>
      <w:r>
        <w:rPr>
          <w:rFonts w:ascii="Arial" w:cs="Arial" w:eastAsia="Arial" w:hAnsi="Arial"/>
          <w:b w:val="false"/>
          <w:bCs w:val="false"/>
          <w:sz w:val="22"/>
          <w:szCs w:val="22"/>
        </w:rPr>
        <w:t xml:space="preserve">Resto de plantilla (aproximadamente 40.000 empleados): e-learning co-creado 'Inigualables'.</w:t>
      </w:r>
    </w:p>
    <w:p>
      <w:pPr>
        <w:spacing w:before="120" w:after="120"/>
      </w:pPr>
      <w:r>
        <w:t xml:space="preserve"/>
      </w:r>
    </w:p>
    <w:p>
      <w:pPr>
        <w:spacing w:before="80" w:after="120"/>
        <w:jc w:val="both"/>
      </w:pPr>
      <w:r>
        <w:rPr>
          <w:rFonts w:ascii="Arial" w:cs="Arial" w:eastAsia="Arial" w:hAnsi="Arial"/>
          <w:sz w:val="22"/>
          <w:szCs w:val="22"/>
        </w:rPr>
        <w:t xml:space="preserve">El aprendizaje central del proyecto: cuando baja el miedo, sube la autenticidad. Y la cultura cambia.</w:t>
      </w:r>
    </w:p>
    <w:p>
      <w:r>
        <w:br w:type="page"/>
      </w:r>
    </w:p>
    <w:p>
      <w:pPr>
        <w:pStyle w:val="Heading1"/>
        <w:pBdr>
          <w:bottom w:val="single" w:color="2E75B6" w:sz="8" w:space="4"/>
        </w:pBdr>
        <w:spacing w:before="480" w:after="240"/>
      </w:pPr>
      <w:bookmarkStart w:id="6579" w:name="chapter_ch10"/>
      <w:bookmarkEnd w:id="6579"/>
      <w:r>
        <w:rPr>
          <w:rFonts w:ascii="Arial" w:cs="Arial" w:eastAsia="Arial" w:hAnsi="Arial"/>
          <w:b/>
          <w:bCs/>
          <w:color w:val="1F3864"/>
          <w:sz w:val="36"/>
          <w:szCs w:val="36"/>
        </w:rPr>
        <w:t xml:space="preserve">8. ÚNETE AL FLOW / RESTAURACIÓN INCLUSIVA</w:t>
      </w:r>
    </w:p>
    <w:p>
      <w:pPr>
        <w:pStyle w:val="Heading2"/>
        <w:spacing w:before="360" w:after="180"/>
      </w:pPr>
      <w:bookmarkStart w:id="8161" w:name="section_sec10_1"/>
      <w:bookmarkEnd w:id="8161"/>
      <w:r>
        <w:rPr>
          <w:rFonts w:ascii="Arial" w:cs="Arial" w:eastAsia="Arial" w:hAnsi="Arial"/>
          <w:b/>
          <w:bCs/>
          <w:color w:val="2E75B6"/>
          <w:sz w:val="28"/>
          <w:szCs w:val="28"/>
        </w:rPr>
        <w:t xml:space="preserve">8.1 Qué es Únete al Flow</w:t>
      </w:r>
    </w:p>
    <w:p>
      <w:pPr>
        <w:spacing w:before="80" w:after="120"/>
        <w:jc w:val="both"/>
      </w:pPr>
      <w:r>
        <w:rPr>
          <w:rFonts w:ascii="Arial" w:cs="Arial" w:eastAsia="Arial" w:hAnsi="Arial"/>
          <w:sz w:val="22"/>
          <w:szCs w:val="22"/>
        </w:rPr>
        <w:t xml:space="preserve">Únete al Flow es la vertical más nueva de Pegasus, nacida como proyecto de inserción laboral y restauración inclusiva. Su modelo de negocio es estacional, con actividad principalmente en agosto y septiembre, vinculada a eventos municipales, institucionales, empresariales o sociales.</w:t>
      </w:r>
    </w:p>
    <w:p>
      <w:pPr>
        <w:spacing w:before="120" w:after="120"/>
      </w:pPr>
      <w:r>
        <w:t xml:space="preserve"/>
      </w:r>
    </w:p>
    <w:p>
      <w:pPr>
        <w:spacing w:before="80" w:after="120"/>
        <w:jc w:val="both"/>
      </w:pPr>
      <w:r>
        <w:rPr>
          <w:rFonts w:ascii="Arial" w:cs="Arial" w:eastAsia="Arial" w:hAnsi="Arial"/>
          <w:sz w:val="22"/>
          <w:szCs w:val="22"/>
        </w:rPr>
        <w:t xml:space="preserve">El proyecto se articula en torno a una alianza estratégica con Black Bull, una empresa del sector de la restauración. Juntos ofrecen un servicio de catering 100% inclusivo donde las personas con discapacidad trabajan en todo el proceso productivo, generando oportunidades reales de inserción laboral.</w:t>
      </w:r>
    </w:p>
    <w:p>
      <w:pPr>
        <w:spacing w:before="120" w:after="120"/>
      </w:pPr>
      <w:r>
        <w:t xml:space="preserve"/>
      </w:r>
    </w:p>
    <w:p>
      <w:pPr>
        <w:jc w:val="left"/>
      </w:pPr>
      <w:r>
        <w:rPr>
          <w:rFonts w:ascii="Arial" w:cs="Arial" w:eastAsia="Arial" w:hAnsi="Arial"/>
          <w:i/>
          <w:iCs/>
          <w:color w:val="1A1A2E"/>
          <w:sz w:val="22"/>
          <w:szCs w:val="22"/>
        </w:rPr>
        <w:t xml:space="preserve">"Porque incluir también se puede... en la mesa."</w:t>
      </w:r>
    </w:p>
    <w:p>
      <w:pPr>
        <w:pStyle w:val="Heading2"/>
        <w:spacing w:before="360" w:after="180"/>
      </w:pPr>
      <w:bookmarkStart w:id="8064" w:name="section_sec10_2"/>
      <w:bookmarkEnd w:id="8064"/>
      <w:r>
        <w:rPr>
          <w:rFonts w:ascii="Arial" w:cs="Arial" w:eastAsia="Arial" w:hAnsi="Arial"/>
          <w:b/>
          <w:bCs/>
          <w:color w:val="2E75B6"/>
          <w:sz w:val="28"/>
          <w:szCs w:val="28"/>
        </w:rPr>
        <w:t xml:space="preserve">8.2 Modelo de negocio</w:t>
      </w:r>
    </w:p>
    <w:p>
      <w:pPr>
        <w:spacing w:before="80" w:after="120"/>
        <w:jc w:val="both"/>
      </w:pPr>
      <w:r>
        <w:rPr>
          <w:rFonts w:ascii="Arial" w:cs="Arial" w:eastAsia="Arial" w:hAnsi="Arial"/>
          <w:sz w:val="22"/>
          <w:szCs w:val="22"/>
        </w:rPr>
        <w:t xml:space="preserve">El modelo combina dos elementos: la inserción laboral real de personas con discapacidad en el sector de la hostelería, y el servicio de catering de calidad para eventos. Los clientes pagan por el servicio de catering y obtienen adicionalmente el valor comunicacional e institucional de haber apostado por la inclusión.</w:t>
      </w:r>
    </w:p>
    <w:p>
      <w:pPr>
        <w:spacing w:before="120" w:after="120"/>
      </w:pPr>
      <w:r>
        <w:t xml:space="preserve"/>
      </w:r>
    </w:p>
    <w:p>
      <w:pPr>
        <w:spacing w:before="80" w:after="120"/>
        <w:jc w:val="both"/>
      </w:pPr>
      <w:r>
        <w:rPr>
          <w:rFonts w:ascii="Arial" w:cs="Arial" w:eastAsia="Arial" w:hAnsi="Arial"/>
          <w:sz w:val="22"/>
          <w:szCs w:val="22"/>
        </w:rPr>
        <w:t xml:space="preserve">El proyecto ha servido en galas de fiestas patronales, encuentros oficiales y eventos institucionales. El target natural son ayuntamientos (a través de la Concejalía de Cultura y Festejos), empresas que organizan eventos corporativos, y organizaciones del tercer sector.</w:t>
      </w:r>
    </w:p>
    <w:p>
      <w:pPr>
        <w:pStyle w:val="Heading2"/>
        <w:spacing w:before="360" w:after="180"/>
      </w:pPr>
      <w:bookmarkStart w:id="4131" w:name="section_sec10_3"/>
      <w:bookmarkEnd w:id="4131"/>
      <w:r>
        <w:rPr>
          <w:rFonts w:ascii="Arial" w:cs="Arial" w:eastAsia="Arial" w:hAnsi="Arial"/>
          <w:b/>
          <w:bCs/>
          <w:color w:val="2E75B6"/>
          <w:sz w:val="28"/>
          <w:szCs w:val="28"/>
        </w:rPr>
        <w:t xml:space="preserve">8.3 Resultados y perspectiva</w:t>
      </w:r>
    </w:p>
    <w:p>
      <w:pPr>
        <w:spacing w:before="80" w:after="120"/>
        <w:jc w:val="both"/>
      </w:pPr>
      <w:r>
        <w:rPr>
          <w:rFonts w:ascii="Arial" w:cs="Arial" w:eastAsia="Arial" w:hAnsi="Arial"/>
          <w:sz w:val="22"/>
          <w:szCs w:val="22"/>
        </w:rPr>
        <w:t xml:space="preserve">En 2025, Únete al Flow solo tuvo actividad en septiembre, generando 34.878€ de ingresos en un único mes activo. Para 2026, el presupuesto es de 64.414€, con actividad en agosto (22.500€) y septiembre (41.914€).</w:t>
      </w:r>
    </w:p>
    <w:p>
      <w:pPr>
        <w:spacing w:before="120" w:after="120"/>
      </w:pPr>
      <w:r>
        <w:t xml:space="preserve"/>
      </w:r>
    </w:p>
    <w:p>
      <w:pPr>
        <w:spacing w:before="80" w:after="120"/>
        <w:jc w:val="both"/>
      </w:pPr>
      <w:r>
        <w:rPr>
          <w:rFonts w:ascii="Arial" w:cs="Arial" w:eastAsia="Arial" w:hAnsi="Arial"/>
          <w:sz w:val="22"/>
          <w:szCs w:val="22"/>
        </w:rPr>
        <w:t xml:space="preserve">El proyecto está en fase de validación de concepto. 2025 fue el año de demostrar que el modelo funciona. 2026 es el año de consolidar el patrón estacional y comenzar a construir una base de clientes recurrentes que contraten el servicio año tras año para los mismos eventos.</w:t>
      </w:r>
    </w:p>
    <w:p>
      <w:pPr>
        <w:pStyle w:val="Heading2"/>
        <w:spacing w:before="360" w:after="180"/>
      </w:pPr>
      <w:bookmarkStart w:id="8751" w:name="section_sec10_4"/>
      <w:bookmarkEnd w:id="8751"/>
      <w:r>
        <w:rPr>
          <w:rFonts w:ascii="Arial" w:cs="Arial" w:eastAsia="Arial" w:hAnsi="Arial"/>
          <w:b/>
          <w:bCs/>
          <w:color w:val="2E75B6"/>
          <w:sz w:val="28"/>
          <w:szCs w:val="28"/>
        </w:rPr>
        <w:t xml:space="preserve">8.4 Potencial a largo plazo</w:t>
      </w:r>
    </w:p>
    <w:p>
      <w:pPr>
        <w:spacing w:before="80" w:after="120"/>
        <w:jc w:val="both"/>
      </w:pPr>
      <w:r>
        <w:rPr>
          <w:rFonts w:ascii="Arial" w:cs="Arial" w:eastAsia="Arial" w:hAnsi="Arial"/>
          <w:sz w:val="22"/>
          <w:szCs w:val="22"/>
        </w:rPr>
        <w:t xml:space="preserve">A largo plazo, Únete al Flow tiene potencial para convertirse en una línea de negocio de inserción laboral más amplia, que podría incluir otros sectores además de la restauración. La alianza con Black Bull es el primer paso de lo que podría ser un programa de inserción laboral sistemático que complemente la misión terapéutica y deportiva de Pegasus.</w:t>
      </w:r>
    </w:p>
    <w:p>
      <w:r>
        <w:br w:type="page"/>
      </w:r>
    </w:p>
    <w:p>
      <w:pPr>
        <w:spacing w:before="480" w:after="120"/>
        <w:jc w:val="center"/>
      </w:pPr>
      <w:r>
        <w:rPr>
          <w:rFonts w:ascii="Arial" w:cs="Arial" w:eastAsia="Arial" w:hAnsi="Arial"/>
          <w:b/>
          <w:bCs/>
          <w:color w:val="2E75B6"/>
          <w:sz w:val="28"/>
          <w:szCs w:val="28"/>
          <w:caps/>
        </w:rPr>
        <w:t xml:space="preserve">PARTE III — CÓMO SOSTENEMOS</w:t>
      </w:r>
    </w:p>
    <w:p>
      <w:pPr>
        <w:pBdr>
          <w:bottom w:val="single" w:color="2E75B6" w:sz="6" w:space="4"/>
        </w:pBdr>
        <w:spacing w:before="0" w:after="240"/>
      </w:pPr>
      <w:r>
        <w:rPr/>
        <w:t/>
      </w:r>
    </w:p>
    <w:p>
      <w:pPr>
        <w:spacing w:before="480" w:after="120"/>
        <w:jc w:val="center"/>
      </w:pPr>
      <w:r>
        <w:rPr>
          <w:rFonts w:ascii="Arial" w:cs="Arial" w:eastAsia="Arial" w:hAnsi="Arial"/>
          <w:b/>
          <w:bCs/>
          <w:color w:val="2E75B6"/>
          <w:sz w:val="28"/>
          <w:szCs w:val="28"/>
          <w:caps/>
        </w:rPr>
        <w:t xml:space="preserve">PARTE III — CÓMO SOSTENEMOS</w:t>
      </w:r>
    </w:p>
    <w:p>
      <w:pPr>
        <w:pBdr>
          <w:bottom w:val="single" w:color="2E75B6" w:sz="6" w:space="4"/>
        </w:pBdr>
        <w:spacing w:before="0" w:after="240"/>
      </w:pPr>
      <w:r>
        <w:rPr/>
        <w:t/>
      </w:r>
    </w:p>
    <w:p>
      <w:pPr>
        <w:pStyle w:val="Heading1"/>
        <w:pBdr>
          <w:bottom w:val="single" w:color="2E75B6" w:sz="8" w:space="4"/>
        </w:pBdr>
        <w:spacing w:before="480" w:after="240"/>
      </w:pPr>
      <w:bookmarkStart w:id="8011" w:name="chapter_ch11"/>
      <w:bookmarkEnd w:id="8011"/>
      <w:r>
        <w:rPr>
          <w:rFonts w:ascii="Arial" w:cs="Arial" w:eastAsia="Arial" w:hAnsi="Arial"/>
          <w:b/>
          <w:bCs/>
          <w:color w:val="1F3864"/>
          <w:sz w:val="36"/>
          <w:szCs w:val="36"/>
        </w:rPr>
        <w:t xml:space="preserve">9. MODELO ECONÓMICO Y FINANCIERO</w:t>
      </w:r>
    </w:p>
    <w:p>
      <w:pPr>
        <w:pStyle w:val="Heading2"/>
        <w:spacing w:before="360" w:after="180"/>
      </w:pPr>
      <w:bookmarkStart w:id="8846" w:name="section_sec11_1"/>
      <w:bookmarkEnd w:id="8846"/>
      <w:r>
        <w:rPr>
          <w:rFonts w:ascii="Arial" w:cs="Arial" w:eastAsia="Arial" w:hAnsi="Arial"/>
          <w:b/>
          <w:bCs/>
          <w:color w:val="2E75B6"/>
          <w:sz w:val="28"/>
          <w:szCs w:val="28"/>
        </w:rPr>
        <w:t xml:space="preserve">9.1 Filosofía financiera</w:t>
      </w:r>
    </w:p>
    <w:p>
      <w:pPr>
        <w:spacing w:before="80" w:after="120"/>
        <w:jc w:val="both"/>
      </w:pPr>
      <w:r>
        <w:rPr>
          <w:rFonts w:ascii="Arial" w:cs="Arial" w:eastAsia="Arial" w:hAnsi="Arial"/>
          <w:sz w:val="22"/>
          <w:szCs w:val="22"/>
        </w:rPr>
        <w:t xml:space="preserve">El modelo financiero de Pegasus parte de una premisa clara: la organización no acepta donativos ni voluntariado. Toda la financiación proviene de servicios de valor real prestados en el mercado. Esta decisión tiene dos consecuencias fundamentales: por un lado, garantiza la independencia y la dignidad de la organización; por otro, exige que los servicios sean económicamente sostenibles por sí mismos o mediante subsidio cruzado entre verticales.</w:t>
      </w:r>
    </w:p>
    <w:p>
      <w:pPr>
        <w:spacing w:before="120" w:after="120"/>
      </w:pPr>
      <w:r>
        <w:t xml:space="preserve"/>
      </w:r>
    </w:p>
    <w:p>
      <w:pPr>
        <w:spacing w:before="80" w:after="120"/>
        <w:jc w:val="both"/>
      </w:pPr>
      <w:r>
        <w:rPr>
          <w:rFonts w:ascii="Arial" w:cs="Arial" w:eastAsia="Arial" w:hAnsi="Arial"/>
          <w:sz w:val="22"/>
          <w:szCs w:val="22"/>
        </w:rPr>
        <w:t xml:space="preserve">El modelo de subsidio cruzado es la clave del sistema: Indiferente y los contratos institucionales financian la accesibilidad de TPT e IS. Sin Indiferente, sin la Federación Madrileña de Municipios y sin la Comunidad de Madrid, la organización no podría sostener los precios accesibles que son su razón de ser.</w:t>
      </w:r>
    </w:p>
    <w:p>
      <w:pPr>
        <w:pStyle w:val="Heading2"/>
        <w:spacing w:before="360" w:after="180"/>
      </w:pPr>
      <w:bookmarkStart w:id="5919" w:name="section_sec11_2"/>
      <w:bookmarkEnd w:id="5919"/>
      <w:r>
        <w:rPr>
          <w:rFonts w:ascii="Arial" w:cs="Arial" w:eastAsia="Arial" w:hAnsi="Arial"/>
          <w:b/>
          <w:bCs/>
          <w:color w:val="2E75B6"/>
          <w:sz w:val="28"/>
          <w:szCs w:val="28"/>
        </w:rPr>
        <w:t xml:space="preserve">9.2 Resultados 2025</w:t>
      </w:r>
    </w:p>
    <w:p>
      <w:pPr>
        <w:spacing w:before="120" w:after="120"/>
      </w:pPr>
      <w:r>
        <w:t xml:space="preserve"/>
      </w:r>
    </w:p>
    <w:p>
      <w:r>
        <w:rPr>
          <w:rFonts w:ascii="Arial" w:cs="Arial" w:eastAsia="Arial" w:hAnsi="Arial"/>
          <w:b/>
          <w:bCs/>
          <w:color w:val="FFFFFF"/>
          <w:sz w:val="20"/>
          <w:szCs w:val="20"/>
        </w:rPr>
        <w:t xml:space="preserve">Concepto</w:t>
      </w:r>
    </w:p>
    <w:p>
      <w:r>
        <w:rPr>
          <w:rFonts w:ascii="Arial" w:cs="Arial" w:eastAsia="Arial" w:hAnsi="Arial"/>
          <w:b/>
          <w:bCs/>
          <w:color w:val="FFFFFF"/>
          <w:sz w:val="20"/>
          <w:szCs w:val="20"/>
        </w:rPr>
        <w:t xml:space="preserve">Importe</w:t>
      </w:r>
    </w:p>
    <w:p>
      <w:r>
        <w:rPr>
          <w:rFonts w:ascii="Arial" w:cs="Arial" w:eastAsia="Arial" w:hAnsi="Arial"/>
          <w:b w:val="false"/>
          <w:bCs w:val="false"/>
          <w:color w:val="1A1A1A"/>
          <w:sz w:val="20"/>
          <w:szCs w:val="20"/>
        </w:rPr>
        <w:t xml:space="preserve">Ingresos de la actividad</w:t>
      </w:r>
    </w:p>
    <w:p>
      <w:r>
        <w:rPr>
          <w:rFonts w:ascii="Arial" w:cs="Arial" w:eastAsia="Arial" w:hAnsi="Arial"/>
          <w:b w:val="false"/>
          <w:bCs w:val="false"/>
          <w:color w:val="1A1A1A"/>
          <w:sz w:val="20"/>
          <w:szCs w:val="20"/>
        </w:rPr>
        <w:t xml:space="preserve">967.471 €</w:t>
      </w:r>
    </w:p>
    <w:p>
      <w:r>
        <w:rPr>
          <w:rFonts w:ascii="Arial" w:cs="Arial" w:eastAsia="Arial" w:hAnsi="Arial"/>
          <w:b w:val="false"/>
          <w:bCs w:val="false"/>
          <w:color w:val="1A1A1A"/>
          <w:sz w:val="20"/>
          <w:szCs w:val="20"/>
        </w:rPr>
        <w:t xml:space="preserve">Subvenciones a la explotación</w:t>
      </w:r>
    </w:p>
    <w:p>
      <w:r>
        <w:rPr>
          <w:rFonts w:ascii="Arial" w:cs="Arial" w:eastAsia="Arial" w:hAnsi="Arial"/>
          <w:b w:val="false"/>
          <w:bCs w:val="false"/>
          <w:color w:val="1A1A1A"/>
          <w:sz w:val="20"/>
          <w:szCs w:val="20"/>
        </w:rPr>
        <w:t xml:space="preserve">37.857 €</w:t>
      </w:r>
    </w:p>
    <w:p>
      <w:r>
        <w:rPr>
          <w:rFonts w:ascii="Arial" w:cs="Arial" w:eastAsia="Arial" w:hAnsi="Arial"/>
          <w:b w:val="false"/>
          <w:bCs w:val="false"/>
          <w:color w:val="1A1A1A"/>
          <w:sz w:val="20"/>
          <w:szCs w:val="20"/>
        </w:rPr>
        <w:t xml:space="preserve">Otros ingresos de explotación</w:t>
      </w:r>
    </w:p>
    <w:p>
      <w:r>
        <w:rPr>
          <w:rFonts w:ascii="Arial" w:cs="Arial" w:eastAsia="Arial" w:hAnsi="Arial"/>
          <w:b w:val="false"/>
          <w:bCs w:val="false"/>
          <w:color w:val="1A1A1A"/>
          <w:sz w:val="20"/>
          <w:szCs w:val="20"/>
        </w:rPr>
        <w:t xml:space="preserve">28.794 €</w:t>
      </w:r>
    </w:p>
    <w:p>
      <w:r>
        <w:rPr>
          <w:rFonts w:ascii="Arial" w:cs="Arial" w:eastAsia="Arial" w:hAnsi="Arial"/>
          <w:b w:val="false"/>
          <w:bCs w:val="false"/>
          <w:color w:val="1A1A1A"/>
          <w:sz w:val="20"/>
          <w:szCs w:val="20"/>
        </w:rPr>
        <w:t xml:space="preserve">INGRESOS TOTALES</w:t>
      </w:r>
    </w:p>
    <w:p>
      <w:r>
        <w:rPr>
          <w:rFonts w:ascii="Arial" w:cs="Arial" w:eastAsia="Arial" w:hAnsi="Arial"/>
          <w:b w:val="false"/>
          <w:bCs w:val="false"/>
          <w:color w:val="1A1A1A"/>
          <w:sz w:val="20"/>
          <w:szCs w:val="20"/>
        </w:rPr>
        <w:t xml:space="preserve">1.034.122 €</w:t>
      </w:r>
    </w:p>
    <w:p>
      <w:r>
        <w:rPr>
          <w:rFonts w:ascii="Arial" w:cs="Arial" w:eastAsia="Arial" w:hAnsi="Arial"/>
          <w:b w:val="false"/>
          <w:bCs w:val="false"/>
          <w:color w:val="1A1A1A"/>
          <w:sz w:val="20"/>
          <w:szCs w:val="20"/>
        </w:rPr>
        <w:t xml:space="preserve">Gastos de personal</w:t>
      </w:r>
    </w:p>
    <w:p>
      <w:r>
        <w:rPr>
          <w:rFonts w:ascii="Arial" w:cs="Arial" w:eastAsia="Arial" w:hAnsi="Arial"/>
          <w:b w:val="false"/>
          <w:bCs w:val="false"/>
          <w:color w:val="1A1A1A"/>
          <w:sz w:val="20"/>
          <w:szCs w:val="20"/>
        </w:rPr>
        <w:t xml:space="preserve">-873.076 €</w:t>
      </w:r>
    </w:p>
    <w:p>
      <w:r>
        <w:rPr>
          <w:rFonts w:ascii="Arial" w:cs="Arial" w:eastAsia="Arial" w:hAnsi="Arial"/>
          <w:b w:val="false"/>
          <w:bCs w:val="false"/>
          <w:color w:val="1A1A1A"/>
          <w:sz w:val="20"/>
          <w:szCs w:val="20"/>
        </w:rPr>
        <w:t xml:space="preserve">Otros gastos de explotación</w:t>
      </w:r>
    </w:p>
    <w:p>
      <w:r>
        <w:rPr>
          <w:rFonts w:ascii="Arial" w:cs="Arial" w:eastAsia="Arial" w:hAnsi="Arial"/>
          <w:b w:val="false"/>
          <w:bCs w:val="false"/>
          <w:color w:val="1A1A1A"/>
          <w:sz w:val="20"/>
          <w:szCs w:val="20"/>
        </w:rPr>
        <w:t xml:space="preserve">-175.514 €</w:t>
      </w:r>
    </w:p>
    <w:p>
      <w:r>
        <w:rPr>
          <w:rFonts w:ascii="Arial" w:cs="Arial" w:eastAsia="Arial" w:hAnsi="Arial"/>
          <w:b w:val="false"/>
          <w:bCs w:val="false"/>
          <w:color w:val="1A1A1A"/>
          <w:sz w:val="20"/>
          <w:szCs w:val="20"/>
        </w:rPr>
        <w:t xml:space="preserve">Gastos financieros (cobro ágil)</w:t>
      </w:r>
    </w:p>
    <w:p>
      <w:r>
        <w:rPr>
          <w:rFonts w:ascii="Arial" w:cs="Arial" w:eastAsia="Arial" w:hAnsi="Arial"/>
          <w:b w:val="false"/>
          <w:bCs w:val="false"/>
          <w:color w:val="1A1A1A"/>
          <w:sz w:val="20"/>
          <w:szCs w:val="20"/>
        </w:rPr>
        <w:t xml:space="preserve">-8.594 €</w:t>
      </w:r>
    </w:p>
    <w:p>
      <w:r>
        <w:rPr>
          <w:rFonts w:ascii="Arial" w:cs="Arial" w:eastAsia="Arial" w:hAnsi="Arial"/>
          <w:b w:val="false"/>
          <w:bCs w:val="false"/>
          <w:color w:val="1A1A1A"/>
          <w:sz w:val="20"/>
          <w:szCs w:val="20"/>
        </w:rPr>
        <w:t xml:space="preserve">Amortizaciones y dotaciones</w:t>
      </w:r>
    </w:p>
    <w:p>
      <w:r>
        <w:rPr>
          <w:rFonts w:ascii="Arial" w:cs="Arial" w:eastAsia="Arial" w:hAnsi="Arial"/>
          <w:b w:val="false"/>
          <w:bCs w:val="false"/>
          <w:color w:val="1A1A1A"/>
          <w:sz w:val="20"/>
          <w:szCs w:val="20"/>
        </w:rPr>
        <w:t xml:space="preserve">-22.705 €</w:t>
      </w:r>
    </w:p>
    <w:p>
      <w:r>
        <w:rPr>
          <w:rFonts w:ascii="Arial" w:cs="Arial" w:eastAsia="Arial" w:hAnsi="Arial"/>
          <w:b w:val="false"/>
          <w:bCs w:val="false"/>
          <w:color w:val="1A1A1A"/>
          <w:sz w:val="20"/>
          <w:szCs w:val="20"/>
        </w:rPr>
        <w:t xml:space="preserve">RESULTADO CONTABLE 2025</w:t>
      </w:r>
    </w:p>
    <w:p>
      <w:r>
        <w:rPr>
          <w:rFonts w:ascii="Arial" w:cs="Arial" w:eastAsia="Arial" w:hAnsi="Arial"/>
          <w:b w:val="false"/>
          <w:bCs w:val="false"/>
          <w:color w:val="1A1A1A"/>
          <w:sz w:val="20"/>
          <w:szCs w:val="20"/>
        </w:rPr>
        <w:t xml:space="preserve">-45.767 €</w:t>
      </w:r>
    </w:p>
    <w:p>
      <w:r>
        <w:rPr>
          <w:rFonts w:ascii="Arial" w:cs="Arial" w:eastAsia="Arial" w:hAnsi="Arial"/>
          <w:b w:val="false"/>
          <w:bCs w:val="false"/>
          <w:color w:val="1A1A1A"/>
          <w:sz w:val="20"/>
          <w:szCs w:val="20"/>
        </w:rPr>
        <w:t xml:space="preserve">+ Convenio FMM (cobrado ene-26)</w:t>
      </w:r>
    </w:p>
    <w:p>
      <w:r>
        <w:rPr>
          <w:rFonts w:ascii="Arial" w:cs="Arial" w:eastAsia="Arial" w:hAnsi="Arial"/>
          <w:b w:val="false"/>
          <w:bCs w:val="false"/>
          <w:color w:val="1A1A1A"/>
          <w:sz w:val="20"/>
          <w:szCs w:val="20"/>
        </w:rPr>
        <w:t xml:space="preserve">+60.645 €</w:t>
      </w:r>
    </w:p>
    <w:p>
      <w:r>
        <w:rPr>
          <w:rFonts w:ascii="Arial" w:cs="Arial" w:eastAsia="Arial" w:hAnsi="Arial"/>
          <w:b w:val="false"/>
          <w:bCs w:val="false"/>
          <w:color w:val="1A1A1A"/>
          <w:sz w:val="20"/>
          <w:szCs w:val="20"/>
        </w:rPr>
        <w:t xml:space="preserve">+ Gastos no recurrentes</w:t>
      </w:r>
    </w:p>
    <w:p>
      <w:r>
        <w:rPr>
          <w:rFonts w:ascii="Arial" w:cs="Arial" w:eastAsia="Arial" w:hAnsi="Arial"/>
          <w:b w:val="false"/>
          <w:bCs w:val="false"/>
          <w:color w:val="1A1A1A"/>
          <w:sz w:val="20"/>
          <w:szCs w:val="20"/>
        </w:rPr>
        <w:t xml:space="preserve">+21.026 €</w:t>
      </w:r>
    </w:p>
    <w:p>
      <w:r>
        <w:rPr>
          <w:rFonts w:ascii="Arial" w:cs="Arial" w:eastAsia="Arial" w:hAnsi="Arial"/>
          <w:b w:val="false"/>
          <w:bCs w:val="false"/>
          <w:color w:val="1A1A1A"/>
          <w:sz w:val="20"/>
          <w:szCs w:val="20"/>
        </w:rPr>
        <w:t xml:space="preserve">RESULTADO DE GESTIÓN 2025</w:t>
      </w:r>
    </w:p>
    <w:p>
      <w:r>
        <w:rPr>
          <w:rFonts w:ascii="Arial" w:cs="Arial" w:eastAsia="Arial" w:hAnsi="Arial"/>
          <w:b w:val="false"/>
          <w:bCs w:val="false"/>
          <w:color w:val="1A1A1A"/>
          <w:sz w:val="20"/>
          <w:szCs w:val="20"/>
        </w:rPr>
        <w:t xml:space="preserve">+35.904 €</w:t>
      </w:r>
    </w:p>
    <w:p>
      <w:pPr>
        <w:spacing w:before="120" w:after="120"/>
      </w:pPr>
      <w:r>
        <w:t xml:space="preserve"/>
      </w:r>
    </w:p>
    <w:p>
      <w:pPr>
        <w:spacing w:before="80" w:after="120"/>
        <w:jc w:val="both"/>
      </w:pPr>
      <w:r>
        <w:rPr>
          <w:rFonts w:ascii="Arial" w:cs="Arial" w:eastAsia="Arial" w:hAnsi="Arial"/>
          <w:sz w:val="22"/>
          <w:szCs w:val="22"/>
        </w:rPr>
        <w:t xml:space="preserve">El resultado contable negativo de -45.767€ se explica por dos factores extraordinarios: el convenio FMM de 60.645€ que corresponde a 2025 pero fue facturado en enero de 2026 por requisito administrativo de la Federación (ya está en caja), y 21.026€ de gastos no recurrentes en consultorías estratégicas de posicionamiento y modelo operativo que no se repetirán. Ajustando estos factores, el resultado de gestión real es positivo en +35.904€.</w:t>
      </w:r>
    </w:p>
    <w:p>
      <w:pPr>
        <w:pStyle w:val="Heading2"/>
        <w:spacing w:before="360" w:after="180"/>
      </w:pPr>
      <w:bookmarkStart w:id="6244" w:name="section_sec11_3"/>
      <w:bookmarkEnd w:id="6244"/>
      <w:r>
        <w:rPr>
          <w:rFonts w:ascii="Arial" w:cs="Arial" w:eastAsia="Arial" w:hAnsi="Arial"/>
          <w:b/>
          <w:bCs/>
          <w:color w:val="2E75B6"/>
          <w:sz w:val="28"/>
          <w:szCs w:val="28"/>
        </w:rPr>
        <w:t xml:space="preserve">9.3 Estructura de ingresos 2025</w:t>
      </w:r>
    </w:p>
    <w:p>
      <w:pPr>
        <w:spacing w:before="120" w:after="120"/>
      </w:pPr>
      <w:r>
        <w:t xml:space="preserve"/>
      </w:r>
    </w:p>
    <w:p>
      <w:r>
        <w:rPr>
          <w:rFonts w:ascii="Arial" w:cs="Arial" w:eastAsia="Arial" w:hAnsi="Arial"/>
          <w:b/>
          <w:bCs/>
          <w:color w:val="FFFFFF"/>
          <w:sz w:val="20"/>
          <w:szCs w:val="20"/>
        </w:rPr>
        <w:t xml:space="preserve">Vertical</w:t>
      </w:r>
    </w:p>
    <w:p>
      <w:r>
        <w:rPr>
          <w:rFonts w:ascii="Arial" w:cs="Arial" w:eastAsia="Arial" w:hAnsi="Arial"/>
          <w:b/>
          <w:bCs/>
          <w:color w:val="FFFFFF"/>
          <w:sz w:val="20"/>
          <w:szCs w:val="20"/>
        </w:rPr>
        <w:t xml:space="preserve">Ingresos 2025</w:t>
      </w:r>
    </w:p>
    <w:p>
      <w:r>
        <w:rPr>
          <w:rFonts w:ascii="Arial" w:cs="Arial" w:eastAsia="Arial" w:hAnsi="Arial"/>
          <w:b/>
          <w:bCs/>
          <w:color w:val="FFFFFF"/>
          <w:sz w:val="20"/>
          <w:szCs w:val="20"/>
        </w:rPr>
        <w:t xml:space="preserve">% del total</w:t>
      </w:r>
    </w:p>
    <w:p>
      <w:r>
        <w:rPr>
          <w:rFonts w:ascii="Arial" w:cs="Arial" w:eastAsia="Arial" w:hAnsi="Arial"/>
          <w:b/>
          <w:bCs/>
          <w:color w:val="FFFFFF"/>
          <w:sz w:val="20"/>
          <w:szCs w:val="20"/>
        </w:rPr>
        <w:t xml:space="preserve">Presupuesto 2026</w:t>
      </w:r>
    </w:p>
    <w:p>
      <w:r>
        <w:rPr>
          <w:rFonts w:ascii="Arial" w:cs="Arial" w:eastAsia="Arial" w:hAnsi="Arial"/>
          <w:b w:val="false"/>
          <w:bCs w:val="false"/>
          <w:color w:val="1A1A1A"/>
          <w:sz w:val="20"/>
          <w:szCs w:val="20"/>
        </w:rPr>
        <w:t xml:space="preserve">Terapias Para Todos (TPT)</w:t>
      </w:r>
    </w:p>
    <w:p>
      <w:r>
        <w:rPr>
          <w:rFonts w:ascii="Arial" w:cs="Arial" w:eastAsia="Arial" w:hAnsi="Arial"/>
          <w:b w:val="false"/>
          <w:bCs w:val="false"/>
          <w:color w:val="1A1A1A"/>
          <w:sz w:val="20"/>
          <w:szCs w:val="20"/>
        </w:rPr>
        <w:t xml:space="preserve">532.739 €</w:t>
      </w:r>
    </w:p>
    <w:p>
      <w:r>
        <w:rPr>
          <w:rFonts w:ascii="Arial" w:cs="Arial" w:eastAsia="Arial" w:hAnsi="Arial"/>
          <w:b w:val="false"/>
          <w:bCs w:val="false"/>
          <w:color w:val="1A1A1A"/>
          <w:sz w:val="20"/>
          <w:szCs w:val="20"/>
        </w:rPr>
        <w:t xml:space="preserve">51,5%</w:t>
      </w:r>
    </w:p>
    <w:p>
      <w:r>
        <w:rPr>
          <w:rFonts w:ascii="Arial" w:cs="Arial" w:eastAsia="Arial" w:hAnsi="Arial"/>
          <w:b w:val="false"/>
          <w:bCs w:val="false"/>
          <w:color w:val="1A1A1A"/>
          <w:sz w:val="20"/>
          <w:szCs w:val="20"/>
        </w:rPr>
        <w:t xml:space="preserve">718.740 €</w:t>
      </w:r>
    </w:p>
    <w:p>
      <w:r>
        <w:rPr>
          <w:rFonts w:ascii="Arial" w:cs="Arial" w:eastAsia="Arial" w:hAnsi="Arial"/>
          <w:b w:val="false"/>
          <w:bCs w:val="false"/>
          <w:color w:val="1A1A1A"/>
          <w:sz w:val="20"/>
          <w:szCs w:val="20"/>
        </w:rPr>
        <w:t xml:space="preserve">Indiferente</w:t>
      </w:r>
    </w:p>
    <w:p>
      <w:r>
        <w:rPr>
          <w:rFonts w:ascii="Arial" w:cs="Arial" w:eastAsia="Arial" w:hAnsi="Arial"/>
          <w:b w:val="false"/>
          <w:bCs w:val="false"/>
          <w:color w:val="1A1A1A"/>
          <w:sz w:val="20"/>
          <w:szCs w:val="20"/>
        </w:rPr>
        <w:t xml:space="preserve">234.430 €</w:t>
      </w:r>
    </w:p>
    <w:p>
      <w:r>
        <w:rPr>
          <w:rFonts w:ascii="Arial" w:cs="Arial" w:eastAsia="Arial" w:hAnsi="Arial"/>
          <w:b w:val="false"/>
          <w:bCs w:val="false"/>
          <w:color w:val="1A1A1A"/>
          <w:sz w:val="20"/>
          <w:szCs w:val="20"/>
        </w:rPr>
        <w:t xml:space="preserve">22,7%</w:t>
      </w:r>
    </w:p>
    <w:p>
      <w:r>
        <w:rPr>
          <w:rFonts w:ascii="Arial" w:cs="Arial" w:eastAsia="Arial" w:hAnsi="Arial"/>
          <w:b w:val="false"/>
          <w:bCs w:val="false"/>
          <w:color w:val="1A1A1A"/>
          <w:sz w:val="20"/>
          <w:szCs w:val="20"/>
        </w:rPr>
        <w:t xml:space="preserve">626.346 €</w:t>
      </w:r>
    </w:p>
    <w:p>
      <w:r>
        <w:rPr>
          <w:rFonts w:ascii="Arial" w:cs="Arial" w:eastAsia="Arial" w:hAnsi="Arial"/>
          <w:b w:val="false"/>
          <w:bCs w:val="false"/>
          <w:color w:val="1A1A1A"/>
          <w:sz w:val="20"/>
          <w:szCs w:val="20"/>
        </w:rPr>
        <w:t xml:space="preserve">Inclusive Sport (IS)</w:t>
      </w:r>
    </w:p>
    <w:p>
      <w:r>
        <w:rPr>
          <w:rFonts w:ascii="Arial" w:cs="Arial" w:eastAsia="Arial" w:hAnsi="Arial"/>
          <w:b w:val="false"/>
          <w:bCs w:val="false"/>
          <w:color w:val="1A1A1A"/>
          <w:sz w:val="20"/>
          <w:szCs w:val="20"/>
        </w:rPr>
        <w:t xml:space="preserve">194.228 €</w:t>
      </w:r>
    </w:p>
    <w:p>
      <w:r>
        <w:rPr>
          <w:rFonts w:ascii="Arial" w:cs="Arial" w:eastAsia="Arial" w:hAnsi="Arial"/>
          <w:b w:val="false"/>
          <w:bCs w:val="false"/>
          <w:color w:val="1A1A1A"/>
          <w:sz w:val="20"/>
          <w:szCs w:val="20"/>
        </w:rPr>
        <w:t xml:space="preserve">18,8%</w:t>
      </w:r>
    </w:p>
    <w:p>
      <w:r>
        <w:rPr>
          <w:rFonts w:ascii="Arial" w:cs="Arial" w:eastAsia="Arial" w:hAnsi="Arial"/>
          <w:b w:val="false"/>
          <w:bCs w:val="false"/>
          <w:color w:val="1A1A1A"/>
          <w:sz w:val="20"/>
          <w:szCs w:val="20"/>
        </w:rPr>
        <w:t xml:space="preserve">184.245 €</w:t>
      </w:r>
    </w:p>
    <w:p>
      <w:r>
        <w:rPr>
          <w:rFonts w:ascii="Arial" w:cs="Arial" w:eastAsia="Arial" w:hAnsi="Arial"/>
          <w:b w:val="false"/>
          <w:bCs w:val="false"/>
          <w:color w:val="1A1A1A"/>
          <w:sz w:val="20"/>
          <w:szCs w:val="20"/>
        </w:rPr>
        <w:t xml:space="preserve">Subvenciones</w:t>
      </w:r>
    </w:p>
    <w:p>
      <w:r>
        <w:rPr>
          <w:rFonts w:ascii="Arial" w:cs="Arial" w:eastAsia="Arial" w:hAnsi="Arial"/>
          <w:b w:val="false"/>
          <w:bCs w:val="false"/>
          <w:color w:val="1A1A1A"/>
          <w:sz w:val="20"/>
          <w:szCs w:val="20"/>
        </w:rPr>
        <w:t xml:space="preserve">37.857 €</w:t>
      </w:r>
    </w:p>
    <w:p>
      <w:r>
        <w:rPr>
          <w:rFonts w:ascii="Arial" w:cs="Arial" w:eastAsia="Arial" w:hAnsi="Arial"/>
          <w:b w:val="false"/>
          <w:bCs w:val="false"/>
          <w:color w:val="1A1A1A"/>
          <w:sz w:val="20"/>
          <w:szCs w:val="20"/>
        </w:rPr>
        <w:t xml:space="preserve">3,7%</w:t>
      </w:r>
    </w:p>
    <w:p>
      <w:r>
        <w:rPr>
          <w:rFonts w:ascii="Arial" w:cs="Arial" w:eastAsia="Arial" w:hAnsi="Arial"/>
          <w:b w:val="false"/>
          <w:bCs w:val="false"/>
          <w:color w:val="1A1A1A"/>
          <w:sz w:val="20"/>
          <w:szCs w:val="20"/>
        </w:rPr>
        <w:t xml:space="preserve">29.150 €</w:t>
      </w:r>
    </w:p>
    <w:p>
      <w:r>
        <w:rPr>
          <w:rFonts w:ascii="Arial" w:cs="Arial" w:eastAsia="Arial" w:hAnsi="Arial"/>
          <w:b w:val="false"/>
          <w:bCs w:val="false"/>
          <w:color w:val="1A1A1A"/>
          <w:sz w:val="20"/>
          <w:szCs w:val="20"/>
        </w:rPr>
        <w:t xml:space="preserve">Únete al Flow</w:t>
      </w:r>
    </w:p>
    <w:p>
      <w:r>
        <w:rPr>
          <w:rFonts w:ascii="Arial" w:cs="Arial" w:eastAsia="Arial" w:hAnsi="Arial"/>
          <w:b w:val="false"/>
          <w:bCs w:val="false"/>
          <w:color w:val="1A1A1A"/>
          <w:sz w:val="20"/>
          <w:szCs w:val="20"/>
        </w:rPr>
        <w:t xml:space="preserve">34.868 €</w:t>
      </w:r>
    </w:p>
    <w:p>
      <w:r>
        <w:rPr>
          <w:rFonts w:ascii="Arial" w:cs="Arial" w:eastAsia="Arial" w:hAnsi="Arial"/>
          <w:b w:val="false"/>
          <w:bCs w:val="false"/>
          <w:color w:val="1A1A1A"/>
          <w:sz w:val="20"/>
          <w:szCs w:val="20"/>
        </w:rPr>
        <w:t xml:space="preserve">3,4%</w:t>
      </w:r>
    </w:p>
    <w:p>
      <w:r>
        <w:rPr>
          <w:rFonts w:ascii="Arial" w:cs="Arial" w:eastAsia="Arial" w:hAnsi="Arial"/>
          <w:b w:val="false"/>
          <w:bCs w:val="false"/>
          <w:color w:val="1A1A1A"/>
          <w:sz w:val="20"/>
          <w:szCs w:val="20"/>
        </w:rPr>
        <w:t xml:space="preserve">64.414 €</w:t>
      </w:r>
    </w:p>
    <w:p>
      <w:r>
        <w:rPr>
          <w:rFonts w:ascii="Arial" w:cs="Arial" w:eastAsia="Arial" w:hAnsi="Arial"/>
          <w:b w:val="false"/>
          <w:bCs w:val="false"/>
          <w:color w:val="1A1A1A"/>
          <w:sz w:val="20"/>
          <w:szCs w:val="20"/>
        </w:rPr>
        <w:t xml:space="preserve">TOTAL</w:t>
      </w:r>
    </w:p>
    <w:p>
      <w:r>
        <w:rPr>
          <w:rFonts w:ascii="Arial" w:cs="Arial" w:eastAsia="Arial" w:hAnsi="Arial"/>
          <w:b w:val="false"/>
          <w:bCs w:val="false"/>
          <w:color w:val="1A1A1A"/>
          <w:sz w:val="20"/>
          <w:szCs w:val="20"/>
        </w:rPr>
        <w:t xml:space="preserve">1.034.122 €</w:t>
      </w:r>
    </w:p>
    <w:p>
      <w:r>
        <w:rPr>
          <w:rFonts w:ascii="Arial" w:cs="Arial" w:eastAsia="Arial" w:hAnsi="Arial"/>
          <w:b w:val="false"/>
          <w:bCs w:val="false"/>
          <w:color w:val="1A1A1A"/>
          <w:sz w:val="20"/>
          <w:szCs w:val="20"/>
        </w:rPr>
        <w:t xml:space="preserve">100%</w:t>
      </w:r>
    </w:p>
    <w:p>
      <w:r>
        <w:rPr>
          <w:rFonts w:ascii="Arial" w:cs="Arial" w:eastAsia="Arial" w:hAnsi="Arial"/>
          <w:b w:val="false"/>
          <w:bCs w:val="false"/>
          <w:color w:val="1A1A1A"/>
          <w:sz w:val="20"/>
          <w:szCs w:val="20"/>
        </w:rPr>
        <w:t xml:space="preserve">1.622.895 €</w:t>
      </w:r>
    </w:p>
    <w:p>
      <w:pPr>
        <w:pStyle w:val="Heading2"/>
        <w:spacing w:before="360" w:after="180"/>
      </w:pPr>
      <w:bookmarkStart w:id="7526" w:name="section_sec11_4"/>
      <w:bookmarkEnd w:id="7526"/>
      <w:r>
        <w:rPr>
          <w:rFonts w:ascii="Arial" w:cs="Arial" w:eastAsia="Arial" w:hAnsi="Arial"/>
          <w:b/>
          <w:bCs/>
          <w:color w:val="2E75B6"/>
          <w:sz w:val="28"/>
          <w:szCs w:val="28"/>
        </w:rPr>
        <w:t xml:space="preserve">9.4 Evolución histórica y proyección</w:t>
      </w:r>
    </w:p>
    <w:p>
      <w:pPr>
        <w:spacing w:before="120" w:after="120"/>
      </w:pPr>
      <w:r>
        <w:t xml:space="preserve"/>
      </w:r>
    </w:p>
    <w:p>
      <w:r>
        <w:rPr>
          <w:rFonts w:ascii="Arial" w:cs="Arial" w:eastAsia="Arial" w:hAnsi="Arial"/>
          <w:b/>
          <w:bCs/>
          <w:color w:val="FFFFFF"/>
          <w:sz w:val="20"/>
          <w:szCs w:val="20"/>
        </w:rPr>
        <w:t xml:space="preserve">Año</w:t>
      </w:r>
    </w:p>
    <w:p>
      <w:r>
        <w:rPr>
          <w:rFonts w:ascii="Arial" w:cs="Arial" w:eastAsia="Arial" w:hAnsi="Arial"/>
          <w:b/>
          <w:bCs/>
          <w:color w:val="FFFFFF"/>
          <w:sz w:val="20"/>
          <w:szCs w:val="20"/>
        </w:rPr>
        <w:t xml:space="preserve">Ingresos Totales</w:t>
      </w:r>
    </w:p>
    <w:p>
      <w:r>
        <w:rPr>
          <w:rFonts w:ascii="Arial" w:cs="Arial" w:eastAsia="Arial" w:hAnsi="Arial"/>
          <w:b/>
          <w:bCs/>
          <w:color w:val="FFFFFF"/>
          <w:sz w:val="20"/>
          <w:szCs w:val="20"/>
        </w:rPr>
        <w:t xml:space="preserve">Crecimiento</w:t>
      </w:r>
    </w:p>
    <w:p>
      <w:r>
        <w:rPr>
          <w:rFonts w:ascii="Arial" w:cs="Arial" w:eastAsia="Arial" w:hAnsi="Arial"/>
          <w:b w:val="false"/>
          <w:bCs w:val="false"/>
          <w:color w:val="1A1A1A"/>
          <w:sz w:val="20"/>
          <w:szCs w:val="20"/>
        </w:rPr>
        <w:t xml:space="preserve">2024</w:t>
      </w:r>
    </w:p>
    <w:p>
      <w:r>
        <w:rPr>
          <w:rFonts w:ascii="Arial" w:cs="Arial" w:eastAsia="Arial" w:hAnsi="Arial"/>
          <w:b w:val="false"/>
          <w:bCs w:val="false"/>
          <w:color w:val="1A1A1A"/>
          <w:sz w:val="20"/>
          <w:szCs w:val="20"/>
        </w:rPr>
        <w:t xml:space="preserve">866.121 €</w:t>
      </w:r>
    </w:p>
    <w:p>
      <w:r>
        <w:rPr>
          <w:rFonts w:ascii="Arial" w:cs="Arial" w:eastAsia="Arial" w:hAnsi="Arial"/>
          <w:b w:val="false"/>
          <w:bCs w:val="false"/>
          <w:color w:val="1A1A1A"/>
          <w:sz w:val="20"/>
          <w:szCs w:val="20"/>
        </w:rPr>
        <w:t xml:space="preserve">Base de referencia</w:t>
      </w:r>
    </w:p>
    <w:p>
      <w:r>
        <w:rPr>
          <w:rFonts w:ascii="Arial" w:cs="Arial" w:eastAsia="Arial" w:hAnsi="Arial"/>
          <w:b w:val="false"/>
          <w:bCs w:val="false"/>
          <w:color w:val="1A1A1A"/>
          <w:sz w:val="20"/>
          <w:szCs w:val="20"/>
        </w:rPr>
        <w:t xml:space="preserve">2025</w:t>
      </w:r>
    </w:p>
    <w:p>
      <w:r>
        <w:rPr>
          <w:rFonts w:ascii="Arial" w:cs="Arial" w:eastAsia="Arial" w:hAnsi="Arial"/>
          <w:b w:val="false"/>
          <w:bCs w:val="false"/>
          <w:color w:val="1A1A1A"/>
          <w:sz w:val="20"/>
          <w:szCs w:val="20"/>
        </w:rPr>
        <w:t xml:space="preserve">1.034.122 €</w:t>
      </w:r>
    </w:p>
    <w:p>
      <w:r>
        <w:rPr>
          <w:rFonts w:ascii="Arial" w:cs="Arial" w:eastAsia="Arial" w:hAnsi="Arial"/>
          <w:b w:val="false"/>
          <w:bCs w:val="false"/>
          <w:color w:val="1A1A1A"/>
          <w:sz w:val="20"/>
          <w:szCs w:val="20"/>
        </w:rPr>
        <w:t xml:space="preserve">+19,4% orgánico</w:t>
      </w:r>
    </w:p>
    <w:p>
      <w:r>
        <w:rPr>
          <w:rFonts w:ascii="Arial" w:cs="Arial" w:eastAsia="Arial" w:hAnsi="Arial"/>
          <w:b w:val="false"/>
          <w:bCs w:val="false"/>
          <w:color w:val="1A1A1A"/>
          <w:sz w:val="20"/>
          <w:szCs w:val="20"/>
        </w:rPr>
        <w:t xml:space="preserve">2026 (presupuesto)</w:t>
      </w:r>
    </w:p>
    <w:p>
      <w:r>
        <w:rPr>
          <w:rFonts w:ascii="Arial" w:cs="Arial" w:eastAsia="Arial" w:hAnsi="Arial"/>
          <w:b w:val="false"/>
          <w:bCs w:val="false"/>
          <w:color w:val="1A1A1A"/>
          <w:sz w:val="20"/>
          <w:szCs w:val="20"/>
        </w:rPr>
        <w:t xml:space="preserve">1.622.895 €</w:t>
      </w:r>
    </w:p>
    <w:p>
      <w:r>
        <w:rPr>
          <w:rFonts w:ascii="Arial" w:cs="Arial" w:eastAsia="Arial" w:hAnsi="Arial"/>
          <w:b w:val="false"/>
          <w:bCs w:val="false"/>
          <w:color w:val="1A1A1A"/>
          <w:sz w:val="20"/>
          <w:szCs w:val="20"/>
        </w:rPr>
        <w:t xml:space="preserve">+57% vs 2025</w:t>
      </w:r>
    </w:p>
    <w:p>
      <w:pPr>
        <w:spacing w:before="120" w:after="120"/>
      </w:pPr>
      <w:r>
        <w:t xml:space="preserve"/>
      </w:r>
    </w:p>
    <w:p>
      <w:pPr>
        <w:spacing w:before="80" w:after="120"/>
        <w:jc w:val="both"/>
      </w:pPr>
      <w:r>
        <w:rPr>
          <w:rFonts w:ascii="Arial" w:cs="Arial" w:eastAsia="Arial" w:hAnsi="Arial"/>
          <w:sz w:val="22"/>
          <w:szCs w:val="22"/>
        </w:rPr>
        <w:t xml:space="preserve">El crecimiento de 2025 fue 100% orgánico, sin adquisiciones. El presupuesto 2026 es ambicioso pero tiene base real: el 35% del crecimiento proviene de la ocupación de plazas disponibles en TPT sin coste marginal, y el resto del crecimiento de Indiferente hacia el canal institucional.</w:t>
      </w:r>
    </w:p>
    <w:p>
      <w:pPr>
        <w:pStyle w:val="Heading2"/>
        <w:spacing w:before="360" w:after="180"/>
      </w:pPr>
      <w:bookmarkStart w:id="7998" w:name="section_sec11_5"/>
      <w:bookmarkEnd w:id="7998"/>
      <w:r>
        <w:rPr>
          <w:rFonts w:ascii="Arial" w:cs="Arial" w:eastAsia="Arial" w:hAnsi="Arial"/>
          <w:b/>
          <w:bCs/>
          <w:color w:val="2E75B6"/>
          <w:sz w:val="28"/>
          <w:szCs w:val="28"/>
        </w:rPr>
        <w:t xml:space="preserve">9.5 Ingresos recurrentes: la base estructural</w:t>
      </w:r>
    </w:p>
    <w:p>
      <w:pPr>
        <w:spacing w:before="80" w:after="120"/>
        <w:jc w:val="both"/>
      </w:pPr>
      <w:r>
        <w:rPr>
          <w:rFonts w:ascii="Arial" w:cs="Arial" w:eastAsia="Arial" w:hAnsi="Arial"/>
          <w:sz w:val="22"/>
          <w:szCs w:val="22"/>
        </w:rPr>
        <w:t xml:space="preserve">El 70% de la facturación total proviene de suscripciones mensuales de TPT e IS. En 2025, estos ingresos recurrentes alcanzaron 726.878€, con un crecimiento del +30,3% respecto a 2024. La proyección para 2026 es de 902.985€ (+24%).</w:t>
      </w:r>
    </w:p>
    <w:p>
      <w:pPr>
        <w:spacing w:before="120" w:after="120"/>
      </w:pPr>
      <w:r>
        <w:t xml:space="preserve"/>
      </w:r>
    </w:p>
    <w:p>
      <w:pPr>
        <w:spacing w:before="80" w:after="120"/>
        <w:jc w:val="both"/>
      </w:pPr>
      <w:r>
        <w:rPr>
          <w:rFonts w:ascii="Arial" w:cs="Arial" w:eastAsia="Arial" w:hAnsi="Arial"/>
          <w:sz w:val="22"/>
          <w:szCs w:val="22"/>
        </w:rPr>
        <w:t xml:space="preserve">El LTV (valor de vida del cliente) de TPT e IS es muy elevado porque las personas con discapacidad tienen necesidades terapéuticas de por vida. Esto garantiza estabilidad en el flujo de ingresos y hace que los ingresos recurrentes sean estructurales, no coyunturales.</w:t>
      </w:r>
    </w:p>
    <w:p>
      <w:pPr>
        <w:pStyle w:val="Heading2"/>
        <w:spacing w:before="360" w:after="180"/>
      </w:pPr>
      <w:bookmarkStart w:id="1867" w:name="section_sec11_6"/>
      <w:bookmarkEnd w:id="1867"/>
      <w:r>
        <w:rPr>
          <w:rFonts w:ascii="Arial" w:cs="Arial" w:eastAsia="Arial" w:hAnsi="Arial"/>
          <w:b/>
          <w:bCs/>
          <w:color w:val="2E75B6"/>
          <w:sz w:val="28"/>
          <w:szCs w:val="28"/>
        </w:rPr>
        <w:t xml:space="preserve">9.6 Situación de tesorería y línea de cobro ágil</w:t>
      </w:r>
    </w:p>
    <w:p>
      <w:pPr>
        <w:spacing w:before="80" w:after="120"/>
        <w:jc w:val="both"/>
      </w:pPr>
      <w:r>
        <w:rPr>
          <w:rFonts w:ascii="Arial" w:cs="Arial" w:eastAsia="Arial" w:hAnsi="Arial"/>
          <w:sz w:val="22"/>
          <w:szCs w:val="22"/>
        </w:rPr>
        <w:t xml:space="preserve">El principal reto financiero de Pegasus no es de rentabilidad sino de liquidez. La organización presta servicios y factura mensualmente, pero las Administraciones Públicas tardan entre 45 y 60 días en pagar. Esto crea un gap de tesorería estructural que se financia mediante una línea de cobro ágil.</w:t>
      </w:r>
    </w:p>
    <w:p>
      <w:pPr>
        <w:spacing w:before="120" w:after="120"/>
      </w:pPr>
      <w:r>
        <w:t xml:space="preserve"/>
      </w:r>
    </w:p>
    <w:p>
      <w:pPr>
        <w:spacing w:before="80" w:after="120"/>
        <w:jc w:val="both"/>
      </w:pPr>
      <w:r>
        <w:rPr>
          <w:rFonts w:ascii="Arial" w:cs="Arial" w:eastAsia="Arial" w:hAnsi="Arial"/>
          <w:sz w:val="22"/>
          <w:szCs w:val="22"/>
        </w:rPr>
        <w:t xml:space="preserve">En mayo de 2026, sin línea de crédito, la caja proyectada es de -1.561€. Con la línea activa, el saldo sería de +19.256€. La línea solicitada es de 75.000€ y representa el 39% del beneficio operativo anual previsto de +193.553€. Es decir, la línea no financia pérdidas: financia el timing entre la prestación del servicio y el cobro de la administración.</w:t>
      </w:r>
    </w:p>
    <w:p>
      <w:pPr>
        <w:pStyle w:val="Heading2"/>
        <w:spacing w:before="360" w:after="180"/>
      </w:pPr>
      <w:bookmarkStart w:id="917" w:name="section_sec11_7"/>
      <w:bookmarkEnd w:id="917"/>
      <w:r>
        <w:rPr>
          <w:rFonts w:ascii="Arial" w:cs="Arial" w:eastAsia="Arial" w:hAnsi="Arial"/>
          <w:b/>
          <w:bCs/>
          <w:color w:val="2E75B6"/>
          <w:sz w:val="28"/>
          <w:szCs w:val="28"/>
        </w:rPr>
        <w:t xml:space="preserve">9.7 Capacidad instalada y potencial de crecimiento</w:t>
      </w:r>
    </w:p>
    <w:p>
      <w:pPr>
        <w:spacing w:before="80" w:after="120"/>
        <w:jc w:val="both"/>
      </w:pPr>
      <w:r>
        <w:rPr>
          <w:rFonts w:ascii="Arial" w:cs="Arial" w:eastAsia="Arial" w:hAnsi="Arial"/>
          <w:sz w:val="22"/>
          <w:szCs w:val="22"/>
        </w:rPr>
        <w:t xml:space="preserve">Pegasus tiene 250 plazas disponibles en TPT con personal ya contratado, es decir, sin coste marginal adicional de estructura. Cada nueva plaza que se ocupa genera ingresos puros. El potencial anual de este upside es de 287.592€.</w:t>
      </w:r>
    </w:p>
    <w:p>
      <w:pPr>
        <w:spacing w:before="120" w:after="120"/>
      </w:pPr>
      <w:r>
        <w:t xml:space="preserve"/>
      </w:r>
    </w:p>
    <w:p>
      <w:pPr>
        <w:spacing w:before="80" w:after="120"/>
        <w:jc w:val="both"/>
      </w:pPr>
      <w:r>
        <w:rPr>
          <w:rFonts w:ascii="Arial" w:cs="Arial" w:eastAsia="Arial" w:hAnsi="Arial"/>
          <w:sz w:val="22"/>
          <w:szCs w:val="22"/>
        </w:rPr>
        <w:t xml:space="preserve">La ocupación actual es del 65%, con un 35% de recorrido disponible. Llenar esas plazas es la palanca de rentabilidad más inmediata y accesible que tiene la organización.</w:t>
      </w:r>
    </w:p>
    <w:p>
      <w:pPr>
        <w:pStyle w:val="Heading2"/>
        <w:spacing w:before="360" w:after="180"/>
      </w:pPr>
      <w:bookmarkStart w:id="7447" w:name="section_sec11_8"/>
      <w:bookmarkEnd w:id="7447"/>
      <w:r>
        <w:rPr>
          <w:rFonts w:ascii="Arial" w:cs="Arial" w:eastAsia="Arial" w:hAnsi="Arial"/>
          <w:b/>
          <w:bCs/>
          <w:color w:val="2E75B6"/>
          <w:sz w:val="28"/>
          <w:szCs w:val="28"/>
        </w:rPr>
        <w:t xml:space="preserve">9.8 Principales riesgos financieros</w:t>
      </w:r>
    </w:p>
    <w:p>
      <w:pPr>
        <w:pStyle w:val="ListParagraph"/>
        <w:numPr>
          <w:ilvl w:val="0"/>
          <w:numId w:val="2"/>
        </w:numPr>
        <w:spacing w:before="60" w:after="60"/>
      </w:pPr>
      <w:r>
        <w:rPr>
          <w:rFonts w:ascii="Arial" w:cs="Arial" w:eastAsia="Arial" w:hAnsi="Arial"/>
          <w:b w:val="false"/>
          <w:bCs w:val="false"/>
          <w:sz w:val="22"/>
          <w:szCs w:val="22"/>
        </w:rPr>
        <w:t xml:space="preserve">Dependencia de dos grandes contratos institucionales: FMM (33,6% de Indiferente) y Comunidad de Madrid (23,9%). Si uno de estos contratos se retrasa o cae, el impacto en tesorería es inmediato y severo.</w:t>
      </w:r>
    </w:p>
    <w:p>
      <w:pPr>
        <w:pStyle w:val="ListParagraph"/>
        <w:numPr>
          <w:ilvl w:val="0"/>
          <w:numId w:val="2"/>
        </w:numPr>
        <w:spacing w:before="60" w:after="60"/>
      </w:pPr>
      <w:r>
        <w:rPr>
          <w:rFonts w:ascii="Arial" w:cs="Arial" w:eastAsia="Arial" w:hAnsi="Arial"/>
          <w:b w:val="false"/>
          <w:bCs w:val="false"/>
          <w:sz w:val="22"/>
          <w:szCs w:val="22"/>
        </w:rPr>
        <w:t xml:space="preserve">Exposición a ciclos políticos: las relaciones actuales son buenas con el PP, pero la ausencia de contratos con ayuntamientos del PSOE es una vulnerabilidad real. El convenio FMM corre riesgo por una alcaldesa del PSOE que quiere tumbarlo.</w:t>
      </w:r>
    </w:p>
    <w:p>
      <w:pPr>
        <w:pStyle w:val="ListParagraph"/>
        <w:numPr>
          <w:ilvl w:val="0"/>
          <w:numId w:val="2"/>
        </w:numPr>
        <w:spacing w:before="60" w:after="60"/>
      </w:pPr>
      <w:r>
        <w:rPr>
          <w:rFonts w:ascii="Arial" w:cs="Arial" w:eastAsia="Arial" w:hAnsi="Arial"/>
          <w:b w:val="false"/>
          <w:bCs w:val="false"/>
          <w:sz w:val="22"/>
          <w:szCs w:val="22"/>
        </w:rPr>
        <w:t xml:space="preserve">El 85% de los gastos son nóminas. Con estructura fija alta y precios accesibles en TPT e IS, el margen de maniobra ante una caída de ingresos es limitado.</w:t>
      </w:r>
    </w:p>
    <w:p>
      <w:pPr>
        <w:pStyle w:val="ListParagraph"/>
        <w:numPr>
          <w:ilvl w:val="0"/>
          <w:numId w:val="2"/>
        </w:numPr>
        <w:spacing w:before="60" w:after="60"/>
      </w:pPr>
      <w:r>
        <w:rPr>
          <w:rFonts w:ascii="Arial" w:cs="Arial" w:eastAsia="Arial" w:hAnsi="Arial"/>
          <w:b w:val="false"/>
          <w:bCs w:val="false"/>
          <w:sz w:val="22"/>
          <w:szCs w:val="22"/>
        </w:rPr>
        <w:t xml:space="preserve">Sin Indiferente, el proyecto de servicios a familias no es autosuficiente. La misión depende del éxito comercial de la consultoría.</w:t>
      </w:r>
    </w:p>
    <w:p>
      <w:pPr>
        <w:pStyle w:val="ListParagraph"/>
        <w:numPr>
          <w:ilvl w:val="0"/>
          <w:numId w:val="2"/>
        </w:numPr>
        <w:spacing w:before="60" w:after="60"/>
      </w:pPr>
      <w:r>
        <w:rPr>
          <w:rFonts w:ascii="Arial" w:cs="Arial" w:eastAsia="Arial" w:hAnsi="Arial"/>
          <w:b w:val="false"/>
          <w:bCs w:val="false"/>
          <w:sz w:val="22"/>
          <w:szCs w:val="22"/>
        </w:rPr>
        <w:t xml:space="preserve">Ausencia de ingresos recurrentes en Indiferente (canal empresas). El Plan Bienestar Corporativo es un intento de resolver esto pero aún no tiene MVP lanzado.</w:t>
      </w:r>
    </w:p>
    <w:p>
      <w:r>
        <w:br w:type="page"/>
      </w:r>
    </w:p>
    <w:p>
      <w:pPr>
        <w:pStyle w:val="Heading1"/>
        <w:pBdr>
          <w:bottom w:val="single" w:color="2E75B6" w:sz="8" w:space="4"/>
        </w:pBdr>
        <w:spacing w:before="480" w:after="240"/>
      </w:pPr>
      <w:bookmarkStart w:id="9876" w:name="chapter_ch12"/>
      <w:bookmarkEnd w:id="9876"/>
      <w:r>
        <w:rPr>
          <w:rFonts w:ascii="Arial" w:cs="Arial" w:eastAsia="Arial" w:hAnsi="Arial"/>
          <w:b/>
          <w:bCs/>
          <w:color w:val="1F3864"/>
          <w:sz w:val="36"/>
          <w:szCs w:val="36"/>
        </w:rPr>
        <w:t xml:space="preserve">10. MODELO DE RELACIONES INSTITUCIONALES</w:t>
      </w:r>
    </w:p>
    <w:p>
      <w:pPr>
        <w:pStyle w:val="Heading2"/>
        <w:spacing w:before="360" w:after="180"/>
      </w:pPr>
      <w:bookmarkStart w:id="6532" w:name="section_sec12_1"/>
      <w:bookmarkEnd w:id="6532"/>
      <w:r>
        <w:rPr>
          <w:rFonts w:ascii="Arial" w:cs="Arial" w:eastAsia="Arial" w:hAnsi="Arial"/>
          <w:b/>
          <w:bCs/>
          <w:color w:val="2E75B6"/>
          <w:sz w:val="28"/>
          <w:szCs w:val="28"/>
        </w:rPr>
        <w:t xml:space="preserve">10.1 Los ayuntamientos como socios estratégicos</w:t>
      </w:r>
    </w:p>
    <w:p>
      <w:pPr>
        <w:spacing w:before="80" w:after="120"/>
        <w:jc w:val="both"/>
      </w:pPr>
      <w:r>
        <w:rPr>
          <w:rFonts w:ascii="Arial" w:cs="Arial" w:eastAsia="Arial" w:hAnsi="Arial"/>
          <w:sz w:val="22"/>
          <w:szCs w:val="22"/>
        </w:rPr>
        <w:t xml:space="preserve">La relación de Pegasus con los ayuntamientos es mucho más compleja y estratégica que una simple relación proveedor-cliente. Los ayuntamientos son simultáneamente:</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Cedentes de espacios (para TPT e IS sin coste de alquiler, lo que permite los precios accesibles).</w:t>
      </w:r>
    </w:p>
    <w:p>
      <w:pPr>
        <w:pStyle w:val="ListParagraph"/>
        <w:numPr>
          <w:ilvl w:val="0"/>
          <w:numId w:val="2"/>
        </w:numPr>
        <w:spacing w:before="60" w:after="60"/>
      </w:pPr>
      <w:r>
        <w:rPr>
          <w:rFonts w:ascii="Arial" w:cs="Arial" w:eastAsia="Arial" w:hAnsi="Arial"/>
          <w:b w:val="false"/>
          <w:bCs w:val="false"/>
          <w:sz w:val="22"/>
          <w:szCs w:val="22"/>
        </w:rPr>
        <w:t xml:space="preserve">Clientes de Indiferente (que pagan por servicios de consultoría, formación y campañas).</w:t>
      </w:r>
    </w:p>
    <w:p>
      <w:pPr>
        <w:pStyle w:val="ListParagraph"/>
        <w:numPr>
          <w:ilvl w:val="0"/>
          <w:numId w:val="2"/>
        </w:numPr>
        <w:spacing w:before="60" w:after="60"/>
      </w:pPr>
      <w:r>
        <w:rPr>
          <w:rFonts w:ascii="Arial" w:cs="Arial" w:eastAsia="Arial" w:hAnsi="Arial"/>
          <w:b w:val="false"/>
          <w:bCs w:val="false"/>
          <w:sz w:val="22"/>
          <w:szCs w:val="22"/>
        </w:rPr>
        <w:t xml:space="preserve">Canales de captación (que derivan familias a los servicios de TPT e IS).</w:t>
      </w:r>
    </w:p>
    <w:p>
      <w:pPr>
        <w:pStyle w:val="ListParagraph"/>
        <w:numPr>
          <w:ilvl w:val="0"/>
          <w:numId w:val="2"/>
        </w:numPr>
        <w:spacing w:before="60" w:after="60"/>
      </w:pPr>
      <w:r>
        <w:rPr>
          <w:rFonts w:ascii="Arial" w:cs="Arial" w:eastAsia="Arial" w:hAnsi="Arial"/>
          <w:b w:val="false"/>
          <w:bCs w:val="false"/>
          <w:sz w:val="22"/>
          <w:szCs w:val="22"/>
        </w:rPr>
        <w:t xml:space="preserve">Fuentes de legitimidad institucional (que validan el trabajo de Pegasus ante otras administraciones).</w:t>
      </w:r>
    </w:p>
    <w:p>
      <w:pPr>
        <w:spacing w:before="120" w:after="120"/>
      </w:pPr>
      <w:r>
        <w:t xml:space="preserve"/>
      </w:r>
    </w:p>
    <w:p>
      <w:pPr>
        <w:spacing w:before="80" w:after="120"/>
        <w:jc w:val="both"/>
      </w:pPr>
      <w:r>
        <w:rPr>
          <w:rFonts w:ascii="Arial" w:cs="Arial" w:eastAsia="Arial" w:hAnsi="Arial"/>
          <w:sz w:val="22"/>
          <w:szCs w:val="22"/>
        </w:rPr>
        <w:t xml:space="preserve">Esta multidimensionalidad convierte la gestión de las relaciones con ayuntamientos en una actividad de alta complejidad y alto valor estratégico.</w:t>
      </w:r>
    </w:p>
    <w:p>
      <w:pPr>
        <w:pStyle w:val="Heading2"/>
        <w:spacing w:before="360" w:after="180"/>
      </w:pPr>
      <w:bookmarkStart w:id="3898" w:name="section_sec12_2"/>
      <w:bookmarkEnd w:id="3898"/>
      <w:r>
        <w:rPr>
          <w:rFonts w:ascii="Arial" w:cs="Arial" w:eastAsia="Arial" w:hAnsi="Arial"/>
          <w:b/>
          <w:bCs/>
          <w:color w:val="2E75B6"/>
          <w:sz w:val="28"/>
          <w:szCs w:val="28"/>
        </w:rPr>
        <w:t xml:space="preserve">10.2 La Federación Madrileña de Municipios (FMM)</w:t>
      </w:r>
    </w:p>
    <w:p>
      <w:pPr>
        <w:spacing w:before="80" w:after="120"/>
        <w:jc w:val="both"/>
      </w:pPr>
      <w:r>
        <w:rPr>
          <w:rFonts w:ascii="Arial" w:cs="Arial" w:eastAsia="Arial" w:hAnsi="Arial"/>
          <w:sz w:val="22"/>
          <w:szCs w:val="22"/>
        </w:rPr>
        <w:t xml:space="preserve">La FMM es el partner institucional más importante de Pegasus. El convenio firmado en diciembre de 2025, con duración de 18 meses, representa 60.645€ ya cobrados en enero de 2026. La negociación en curso para ampliarlo de 3 a 10 núcleos a partir de septiembre de 2026 podría generar aproximadamente 200.000€ adicionales.</w:t>
      </w:r>
    </w:p>
    <w:p>
      <w:pPr>
        <w:spacing w:before="120" w:after="120"/>
      </w:pPr>
      <w:r>
        <w:t xml:space="preserve"/>
      </w:r>
    </w:p>
    <w:p>
      <w:pPr>
        <w:spacing w:before="80" w:after="120"/>
        <w:jc w:val="both"/>
      </w:pPr>
      <w:r>
        <w:rPr>
          <w:rFonts w:ascii="Arial" w:cs="Arial" w:eastAsia="Arial" w:hAnsi="Arial"/>
          <w:sz w:val="22"/>
          <w:szCs w:val="22"/>
        </w:rPr>
        <w:t xml:space="preserve">RIESGO CRÍTICO: El convenio FMM corre riesgo de ser tumbado por la alcaldesa del Corpus Christi, del PSOE, que se opone al proyecto. Este es el riesgo político más inmediato y concreto al que se enfrenta la organización en 2026.</w:t>
      </w:r>
    </w:p>
    <w:p>
      <w:pPr>
        <w:pStyle w:val="Heading2"/>
        <w:spacing w:before="360" w:after="180"/>
      </w:pPr>
      <w:bookmarkStart w:id="5263" w:name="section_sec12_3"/>
      <w:bookmarkEnd w:id="5263"/>
      <w:r>
        <w:rPr>
          <w:rFonts w:ascii="Arial" w:cs="Arial" w:eastAsia="Arial" w:hAnsi="Arial"/>
          <w:b/>
          <w:bCs/>
          <w:color w:val="2E75B6"/>
          <w:sz w:val="28"/>
          <w:szCs w:val="28"/>
        </w:rPr>
        <w:t xml:space="preserve">10.3 La Comunidad de Madrid</w:t>
      </w:r>
    </w:p>
    <w:p>
      <w:pPr>
        <w:spacing w:before="80" w:after="120"/>
        <w:jc w:val="both"/>
      </w:pPr>
      <w:r>
        <w:rPr>
          <w:rFonts w:ascii="Arial" w:cs="Arial" w:eastAsia="Arial" w:hAnsi="Arial"/>
          <w:sz w:val="22"/>
          <w:szCs w:val="22"/>
        </w:rPr>
        <w:t xml:space="preserve">La Comunidad de Madrid es el segundo gran cliente institucional, con un proyecto ad hoc de 150.000€ en proceso de firma. Representa el 23,9% del presupuesto de Indiferente para 2026. El convenio de singularidad ad hoc está en redacción y se cobra el 100% al inicio de la firma.</w:t>
      </w:r>
    </w:p>
    <w:p>
      <w:pPr>
        <w:pStyle w:val="Heading2"/>
        <w:spacing w:before="360" w:after="180"/>
      </w:pPr>
      <w:bookmarkStart w:id="9261" w:name="section_sec12_4"/>
      <w:bookmarkEnd w:id="9261"/>
      <w:r>
        <w:rPr>
          <w:rFonts w:ascii="Arial" w:cs="Arial" w:eastAsia="Arial" w:hAnsi="Arial"/>
          <w:b/>
          <w:bCs/>
          <w:color w:val="2E75B6"/>
          <w:sz w:val="28"/>
          <w:szCs w:val="28"/>
        </w:rPr>
        <w:t xml:space="preserve">10.4 Dependencia política: el riesgo sistémico</w:t>
      </w:r>
    </w:p>
    <w:p>
      <w:pPr>
        <w:spacing w:before="80" w:after="120"/>
        <w:jc w:val="both"/>
      </w:pPr>
      <w:r>
        <w:rPr>
          <w:rFonts w:ascii="Arial" w:cs="Arial" w:eastAsia="Arial" w:hAnsi="Arial"/>
          <w:sz w:val="22"/>
          <w:szCs w:val="22"/>
        </w:rPr>
        <w:t xml:space="preserve">Las buenas relaciones actuales con el PP en la Comunidad de Madrid y en varios municipios son un activo real pero frágil. La ausencia de contratos con ayuntamientos del PSOE es una vulnerabilidad sistémica que limita el mercado potencial de Indiferente y crea un riesgo de concentración política.</w:t>
      </w:r>
    </w:p>
    <w:p>
      <w:pPr>
        <w:spacing w:before="120" w:after="120"/>
      </w:pPr>
      <w:r>
        <w:t xml:space="preserve"/>
      </w:r>
    </w:p>
    <w:p>
      <w:pPr>
        <w:spacing w:before="80" w:after="120"/>
        <w:jc w:val="both"/>
      </w:pPr>
      <w:r>
        <w:rPr>
          <w:rFonts w:ascii="Arial" w:cs="Arial" w:eastAsia="Arial" w:hAnsi="Arial"/>
          <w:sz w:val="22"/>
          <w:szCs w:val="22"/>
        </w:rPr>
        <w:t xml:space="preserve">Esta dependencia es probablemente el riesgo más difícil de gestionar de toda la organización, porque su origen no es operativo sino político. La estrategia de diversificación de la cartera de clientes institucionales —incluyendo empresas privadas y ayuntamientos de diferentes colores políticos— es la respuesta más adecuada a largo plazo.</w:t>
      </w:r>
    </w:p>
    <w:p>
      <w:r>
        <w:br w:type="page"/>
      </w:r>
    </w:p>
    <w:p>
      <w:pPr>
        <w:spacing w:before="480" w:after="120"/>
        <w:jc w:val="center"/>
      </w:pPr>
      <w:r>
        <w:rPr>
          <w:rFonts w:ascii="Arial" w:cs="Arial" w:eastAsia="Arial" w:hAnsi="Arial"/>
          <w:b/>
          <w:bCs/>
          <w:color w:val="2E75B6"/>
          <w:sz w:val="28"/>
          <w:szCs w:val="28"/>
          <w:caps/>
        </w:rPr>
        <w:t xml:space="preserve">PARTE IV — DÓNDE VAMOS</w:t>
      </w:r>
    </w:p>
    <w:p>
      <w:pPr>
        <w:pBdr>
          <w:bottom w:val="single" w:color="2E75B6" w:sz="6" w:space="4"/>
        </w:pBdr>
        <w:spacing w:before="0" w:after="240"/>
      </w:pPr>
      <w:r>
        <w:rPr/>
        <w:t/>
      </w:r>
    </w:p>
    <w:p>
      <w:pPr>
        <w:spacing w:before="480" w:after="120"/>
        <w:jc w:val="center"/>
      </w:pPr>
      <w:r>
        <w:rPr>
          <w:rFonts w:ascii="Arial" w:cs="Arial" w:eastAsia="Arial" w:hAnsi="Arial"/>
          <w:b/>
          <w:bCs/>
          <w:color w:val="2E75B6"/>
          <w:sz w:val="28"/>
          <w:szCs w:val="28"/>
          <w:caps/>
        </w:rPr>
        <w:t xml:space="preserve">PARTE IV — DÓNDE VAMOS</w:t>
      </w:r>
    </w:p>
    <w:p>
      <w:pPr>
        <w:pBdr>
          <w:bottom w:val="single" w:color="2E75B6" w:sz="6" w:space="4"/>
        </w:pBdr>
        <w:spacing w:before="0" w:after="240"/>
      </w:pPr>
      <w:r>
        <w:rPr/>
        <w:t/>
      </w:r>
    </w:p>
    <w:p>
      <w:pPr>
        <w:pStyle w:val="Heading1"/>
        <w:pBdr>
          <w:bottom w:val="single" w:color="2E75B6" w:sz="8" w:space="4"/>
        </w:pBdr>
        <w:spacing w:before="480" w:after="240"/>
      </w:pPr>
      <w:bookmarkStart w:id="9230" w:name="chapter_ch13"/>
      <w:bookmarkEnd w:id="9230"/>
      <w:r>
        <w:rPr>
          <w:rFonts w:ascii="Arial" w:cs="Arial" w:eastAsia="Arial" w:hAnsi="Arial"/>
          <w:b/>
          <w:bCs/>
          <w:color w:val="1F3864"/>
          <w:sz w:val="36"/>
          <w:szCs w:val="36"/>
        </w:rPr>
        <w:t xml:space="preserve">11. VISIÓN DE FUTURO Y RETOS ESTRATÉGICOS</w:t>
      </w:r>
    </w:p>
    <w:p>
      <w:pPr>
        <w:pStyle w:val="Heading2"/>
        <w:spacing w:before="360" w:after="180"/>
      </w:pPr>
      <w:bookmarkStart w:id="5843" w:name="section_sec13_1"/>
      <w:bookmarkEnd w:id="5843"/>
      <w:r>
        <w:rPr>
          <w:rFonts w:ascii="Arial" w:cs="Arial" w:eastAsia="Arial" w:hAnsi="Arial"/>
          <w:b/>
          <w:bCs/>
          <w:color w:val="2E75B6"/>
          <w:sz w:val="28"/>
          <w:szCs w:val="28"/>
        </w:rPr>
        <w:t xml:space="preserve">11.1 Visión a corto plazo (2026)</w:t>
      </w:r>
    </w:p>
    <w:p>
      <w:pPr>
        <w:spacing w:before="80" w:after="120"/>
        <w:jc w:val="both"/>
      </w:pPr>
      <w:r>
        <w:rPr>
          <w:rFonts w:ascii="Arial" w:cs="Arial" w:eastAsia="Arial" w:hAnsi="Arial"/>
          <w:sz w:val="22"/>
          <w:szCs w:val="22"/>
        </w:rPr>
        <w:t xml:space="preserve">El objetivo prioritario de 2026 es la estabilización y consolidación en la Comunidad de Madrid. Los hitos concretos son:</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Llenar las 250 plazas disponibles en TPT hasta alcanzar el 80%+ de ocupación.</w:t>
      </w:r>
    </w:p>
    <w:p>
      <w:pPr>
        <w:pStyle w:val="ListParagraph"/>
        <w:numPr>
          <w:ilvl w:val="0"/>
          <w:numId w:val="2"/>
        </w:numPr>
        <w:spacing w:before="60" w:after="60"/>
      </w:pPr>
      <w:r>
        <w:rPr>
          <w:rFonts w:ascii="Arial" w:cs="Arial" w:eastAsia="Arial" w:hAnsi="Arial"/>
          <w:b w:val="false"/>
          <w:bCs w:val="false"/>
          <w:sz w:val="22"/>
          <w:szCs w:val="22"/>
        </w:rPr>
        <w:t xml:space="preserve">Cerrar y ejecutar el convenio CCMM de 150.000€.</w:t>
      </w:r>
    </w:p>
    <w:p>
      <w:pPr>
        <w:pStyle w:val="ListParagraph"/>
        <w:numPr>
          <w:ilvl w:val="0"/>
          <w:numId w:val="2"/>
        </w:numPr>
        <w:spacing w:before="60" w:after="60"/>
      </w:pPr>
      <w:r>
        <w:rPr>
          <w:rFonts w:ascii="Arial" w:cs="Arial" w:eastAsia="Arial" w:hAnsi="Arial"/>
          <w:b w:val="false"/>
          <w:bCs w:val="false"/>
          <w:sz w:val="22"/>
          <w:szCs w:val="22"/>
        </w:rPr>
        <w:t xml:space="preserve">Asegurar la renovación y ampliación del convenio FMM.</w:t>
      </w:r>
    </w:p>
    <w:p>
      <w:pPr>
        <w:pStyle w:val="ListParagraph"/>
        <w:numPr>
          <w:ilvl w:val="0"/>
          <w:numId w:val="2"/>
        </w:numPr>
        <w:spacing w:before="60" w:after="60"/>
      </w:pPr>
      <w:r>
        <w:rPr>
          <w:rFonts w:ascii="Arial" w:cs="Arial" w:eastAsia="Arial" w:hAnsi="Arial"/>
          <w:b w:val="false"/>
          <w:bCs w:val="false"/>
          <w:sz w:val="22"/>
          <w:szCs w:val="22"/>
        </w:rPr>
        <w:t xml:space="preserve">Completar la fusión de coordinadores de TPT e IS para septiembre de 2026.</w:t>
      </w:r>
    </w:p>
    <w:p>
      <w:pPr>
        <w:pStyle w:val="ListParagraph"/>
        <w:numPr>
          <w:ilvl w:val="0"/>
          <w:numId w:val="2"/>
        </w:numPr>
        <w:spacing w:before="60" w:after="60"/>
      </w:pPr>
      <w:r>
        <w:rPr>
          <w:rFonts w:ascii="Arial" w:cs="Arial" w:eastAsia="Arial" w:hAnsi="Arial"/>
          <w:b w:val="false"/>
          <w:bCs w:val="false"/>
          <w:sz w:val="22"/>
          <w:szCs w:val="22"/>
        </w:rPr>
        <w:t xml:space="preserve">Consolidar la transición de Iris hacia la dirección autónoma de servicios.</w:t>
      </w:r>
    </w:p>
    <w:p>
      <w:pPr>
        <w:pStyle w:val="ListParagraph"/>
        <w:numPr>
          <w:ilvl w:val="0"/>
          <w:numId w:val="2"/>
        </w:numPr>
        <w:spacing w:before="60" w:after="60"/>
      </w:pPr>
      <w:r>
        <w:rPr>
          <w:rFonts w:ascii="Arial" w:cs="Arial" w:eastAsia="Arial" w:hAnsi="Arial"/>
          <w:b w:val="false"/>
          <w:bCs w:val="false"/>
          <w:sz w:val="22"/>
          <w:szCs w:val="22"/>
        </w:rPr>
        <w:t xml:space="preserve">Lanzar el MVP del Plan Bienestar Corporativo para empresas.</w:t>
      </w:r>
    </w:p>
    <w:p>
      <w:pPr>
        <w:pStyle w:val="ListParagraph"/>
        <w:numPr>
          <w:ilvl w:val="0"/>
          <w:numId w:val="2"/>
        </w:numPr>
        <w:spacing w:before="60" w:after="60"/>
      </w:pPr>
      <w:r>
        <w:rPr>
          <w:rFonts w:ascii="Arial" w:cs="Arial" w:eastAsia="Arial" w:hAnsi="Arial"/>
          <w:b w:val="false"/>
          <w:bCs w:val="false"/>
          <w:sz w:val="22"/>
          <w:szCs w:val="22"/>
        </w:rPr>
        <w:t xml:space="preserve">Realizar el análisis de precio de mercado en TPT e IS.</w:t>
      </w:r>
    </w:p>
    <w:p>
      <w:pPr>
        <w:pStyle w:val="Heading2"/>
        <w:spacing w:before="360" w:after="180"/>
      </w:pPr>
      <w:bookmarkStart w:id="3400" w:name="section_sec13_2"/>
      <w:bookmarkEnd w:id="3400"/>
      <w:r>
        <w:rPr>
          <w:rFonts w:ascii="Arial" w:cs="Arial" w:eastAsia="Arial" w:hAnsi="Arial"/>
          <w:b/>
          <w:bCs/>
          <w:color w:val="2E75B6"/>
          <w:sz w:val="28"/>
          <w:szCs w:val="28"/>
        </w:rPr>
        <w:t xml:space="preserve">11.2 Visión a medio plazo (2027-2028)</w:t>
      </w:r>
    </w:p>
    <w:p>
      <w:pPr>
        <w:spacing w:before="80" w:after="120"/>
        <w:jc w:val="both"/>
      </w:pPr>
      <w:r>
        <w:rPr>
          <w:rFonts w:ascii="Arial" w:cs="Arial" w:eastAsia="Arial" w:hAnsi="Arial"/>
          <w:sz w:val="22"/>
          <w:szCs w:val="22"/>
        </w:rPr>
        <w:t xml:space="preserve">Con la Comunidad de Madrid consolidada, el paso natural es la expansión geográfica hacia territorios limítrofes. Las provincias más lógicas para una primera expansión son Toledo, Guadalajara y posiblemente Ávila o Segovia, dado que comparten características socioeconómicas similares y tienen una relación institucional natural con el marco de la Comunidad de Madrid.</w:t>
      </w:r>
    </w:p>
    <w:p>
      <w:pPr>
        <w:spacing w:before="120" w:after="120"/>
      </w:pPr>
      <w:r>
        <w:t xml:space="preserve"/>
      </w:r>
    </w:p>
    <w:p>
      <w:pPr>
        <w:spacing w:before="80" w:after="120"/>
        <w:jc w:val="both"/>
      </w:pPr>
      <w:r>
        <w:rPr>
          <w:rFonts w:ascii="Arial" w:cs="Arial" w:eastAsia="Arial" w:hAnsi="Arial"/>
          <w:sz w:val="22"/>
          <w:szCs w:val="22"/>
        </w:rPr>
        <w:t xml:space="preserve">En Indiferente, el objetivo a medio plazo es construir una base de ingresos recurrentes empresariales que reduzca la dependencia de los grandes contratos institucionales. El Plan Bienestar Corporativo y el e-learning a medida son las principales palancas.</w:t>
      </w:r>
    </w:p>
    <w:p>
      <w:pPr>
        <w:pStyle w:val="Heading2"/>
        <w:spacing w:before="360" w:after="180"/>
      </w:pPr>
      <w:bookmarkStart w:id="4498" w:name="section_sec13_3"/>
      <w:bookmarkEnd w:id="4498"/>
      <w:r>
        <w:rPr>
          <w:rFonts w:ascii="Arial" w:cs="Arial" w:eastAsia="Arial" w:hAnsi="Arial"/>
          <w:b/>
          <w:bCs/>
          <w:color w:val="2E75B6"/>
          <w:sz w:val="28"/>
          <w:szCs w:val="28"/>
        </w:rPr>
        <w:t xml:space="preserve">11.3 Visión a largo plazo (2029 en adelante)</w:t>
      </w:r>
    </w:p>
    <w:p>
      <w:pPr>
        <w:spacing w:before="80" w:after="120"/>
        <w:jc w:val="both"/>
      </w:pPr>
      <w:r>
        <w:rPr>
          <w:rFonts w:ascii="Arial" w:cs="Arial" w:eastAsia="Arial" w:hAnsi="Arial"/>
          <w:sz w:val="22"/>
          <w:szCs w:val="22"/>
        </w:rPr>
        <w:t xml:space="preserve">La ambición a largo plazo es escalar los servicios a familias (TPT e IS) a toda España. Este es un horizonte de más de 5 años, que requerirá un modelo organizativo muy diferente al actual, probablemente con franquicias territoriales o con una estructura de dirección regional.</w:t>
      </w:r>
    </w:p>
    <w:p>
      <w:pPr>
        <w:spacing w:before="120" w:after="120"/>
      </w:pPr>
      <w:r>
        <w:t xml:space="preserve"/>
      </w:r>
    </w:p>
    <w:p>
      <w:pPr>
        <w:spacing w:before="80" w:after="120"/>
        <w:jc w:val="both"/>
      </w:pPr>
      <w:r>
        <w:rPr>
          <w:rFonts w:ascii="Arial" w:cs="Arial" w:eastAsia="Arial" w:hAnsi="Arial"/>
          <w:sz w:val="22"/>
          <w:szCs w:val="22"/>
        </w:rPr>
        <w:t xml:space="preserve">La nueva línea de inserción laboral (Únete al Flow) tiene potencial para convertirse en un proyecto de impacto nacional si se sistematiza el modelo de alianza con empresas del sector servicios.</w:t>
      </w:r>
    </w:p>
    <w:p>
      <w:pPr>
        <w:pStyle w:val="Heading2"/>
        <w:spacing w:before="360" w:after="180"/>
      </w:pPr>
      <w:bookmarkStart w:id="8390" w:name="section_sec13_4"/>
      <w:bookmarkEnd w:id="8390"/>
      <w:r>
        <w:rPr>
          <w:rFonts w:ascii="Arial" w:cs="Arial" w:eastAsia="Arial" w:hAnsi="Arial"/>
          <w:b/>
          <w:bCs/>
          <w:color w:val="2E75B6"/>
          <w:sz w:val="28"/>
          <w:szCs w:val="28"/>
        </w:rPr>
        <w:t xml:space="preserve">11.4 Los retos que más preocupan</w:t>
      </w:r>
    </w:p>
    <w:p>
      <w:pPr>
        <w:spacing w:before="80" w:after="120"/>
        <w:jc w:val="both"/>
      </w:pPr>
      <w:r>
        <w:rPr>
          <w:rFonts w:ascii="Arial" w:cs="Arial" w:eastAsia="Arial" w:hAnsi="Arial"/>
          <w:sz w:val="22"/>
          <w:szCs w:val="22"/>
        </w:rPr>
        <w:t xml:space="preserve">Con honestidad estratégica, estos son los retos que más preocupan a la dirección de la organización:</w:t>
      </w:r>
    </w:p>
    <w:p>
      <w:pPr>
        <w:spacing w:before="120" w:after="120"/>
      </w:pPr>
      <w:r>
        <w:t xml:space="preserve"/>
      </w:r>
    </w:p>
    <w:p>
      <w:pPr>
        <w:pStyle w:val="Heading3"/>
        <w:spacing w:before="240" w:after="120"/>
      </w:pPr>
      <w:r>
        <w:rPr>
          <w:rFonts w:ascii="Arial" w:cs="Arial" w:eastAsia="Arial" w:hAnsi="Arial"/>
          <w:b/>
          <w:bCs/>
          <w:color w:val="333333"/>
          <w:sz w:val="24"/>
          <w:szCs w:val="24"/>
        </w:rPr>
        <w:t xml:space="preserve">1. Inestabilidad financiera y flujos de caja</w:t>
      </w:r>
    </w:p>
    <w:p>
      <w:pPr>
        <w:spacing w:before="80" w:after="120"/>
        <w:jc w:val="both"/>
      </w:pPr>
      <w:r>
        <w:rPr>
          <w:rFonts w:ascii="Arial" w:cs="Arial" w:eastAsia="Arial" w:hAnsi="Arial"/>
          <w:sz w:val="22"/>
          <w:szCs w:val="22"/>
        </w:rPr>
        <w:t xml:space="preserve">El gap entre prestación del servicio y cobro de la administración genera tensiones de liquidez recurrentes. La línea de cobro ágil mitiga el problema pero no lo resuelve estructuralmente.</w:t>
      </w:r>
    </w:p>
    <w:p>
      <w:pPr>
        <w:pStyle w:val="Heading3"/>
        <w:spacing w:before="240" w:after="120"/>
      </w:pPr>
      <w:r>
        <w:rPr>
          <w:rFonts w:ascii="Arial" w:cs="Arial" w:eastAsia="Arial" w:hAnsi="Arial"/>
          <w:b/>
          <w:bCs/>
          <w:color w:val="333333"/>
          <w:sz w:val="24"/>
          <w:szCs w:val="24"/>
        </w:rPr>
        <w:t xml:space="preserve">2. Dependencia política de los contratos institucionales</w:t>
      </w:r>
    </w:p>
    <w:p>
      <w:pPr>
        <w:spacing w:before="80" w:after="120"/>
        <w:jc w:val="both"/>
      </w:pPr>
      <w:r>
        <w:rPr>
          <w:rFonts w:ascii="Arial" w:cs="Arial" w:eastAsia="Arial" w:hAnsi="Arial"/>
          <w:sz w:val="22"/>
          <w:szCs w:val="22"/>
        </w:rPr>
        <w:t xml:space="preserve">La concentración en clientes del PP y la vulnerabilidad ante cambios políticos en municipios clave es el riesgo más difícil de gestionar.</w:t>
      </w:r>
    </w:p>
    <w:p>
      <w:pPr>
        <w:pStyle w:val="Heading3"/>
        <w:spacing w:before="240" w:after="120"/>
      </w:pPr>
      <w:r>
        <w:rPr>
          <w:rFonts w:ascii="Arial" w:cs="Arial" w:eastAsia="Arial" w:hAnsi="Arial"/>
          <w:b/>
          <w:bCs/>
          <w:color w:val="333333"/>
          <w:sz w:val="24"/>
          <w:szCs w:val="24"/>
        </w:rPr>
        <w:t xml:space="preserve">3. Dependencia de David Rodríguez</w:t>
      </w:r>
    </w:p>
    <w:p>
      <w:pPr>
        <w:spacing w:before="80" w:after="120"/>
        <w:jc w:val="both"/>
      </w:pPr>
      <w:r>
        <w:rPr>
          <w:rFonts w:ascii="Arial" w:cs="Arial" w:eastAsia="Arial" w:hAnsi="Arial"/>
          <w:sz w:val="22"/>
          <w:szCs w:val="22"/>
        </w:rPr>
        <w:t xml:space="preserve">David es el activo más valioso de la organización y también su punto de fallo único. No existe un plan de contingencia claro para el escenario en que David no pueda operar, ni una estrategia sistemática para transferir capital de marca de David a la institución Pegasus.</w:t>
      </w:r>
    </w:p>
    <w:p>
      <w:pPr>
        <w:pStyle w:val="Heading3"/>
        <w:spacing w:before="240" w:after="120"/>
      </w:pPr>
      <w:r>
        <w:rPr>
          <w:rFonts w:ascii="Arial" w:cs="Arial" w:eastAsia="Arial" w:hAnsi="Arial"/>
          <w:b/>
          <w:bCs/>
          <w:color w:val="333333"/>
          <w:sz w:val="24"/>
          <w:szCs w:val="24"/>
        </w:rPr>
        <w:t xml:space="preserve">4. La accesibilidad económica como limitación de margen</w:t>
      </w:r>
    </w:p>
    <w:p>
      <w:pPr>
        <w:spacing w:before="80" w:after="120"/>
        <w:jc w:val="both"/>
      </w:pPr>
      <w:r>
        <w:rPr>
          <w:rFonts w:ascii="Arial" w:cs="Arial" w:eastAsia="Arial" w:hAnsi="Arial"/>
          <w:sz w:val="22"/>
          <w:szCs w:val="22"/>
        </w:rPr>
        <w:t xml:space="preserve">Los precios de TPT e IS son tan bajos que no permiten generar el margen suficiente para autofinanciar el crecimiento. Toda la rentabilidad de la organización pasa por Indiferente. Esto hace que la misión sea permanentemente rehén del éxito comercial de la consultoría.</w:t>
      </w:r>
    </w:p>
    <w:p>
      <w:pPr>
        <w:pStyle w:val="Heading3"/>
        <w:spacing w:before="240" w:after="120"/>
      </w:pPr>
      <w:r>
        <w:rPr>
          <w:rFonts w:ascii="Arial" w:cs="Arial" w:eastAsia="Arial" w:hAnsi="Arial"/>
          <w:b/>
          <w:bCs/>
          <w:color w:val="333333"/>
          <w:sz w:val="24"/>
          <w:szCs w:val="24"/>
        </w:rPr>
        <w:t xml:space="preserve">5. Retención de talento</w:t>
      </w:r>
    </w:p>
    <w:p>
      <w:pPr>
        <w:spacing w:before="80" w:after="120"/>
        <w:jc w:val="both"/>
      </w:pPr>
      <w:r>
        <w:rPr>
          <w:rFonts w:ascii="Arial" w:cs="Arial" w:eastAsia="Arial" w:hAnsi="Arial"/>
          <w:sz w:val="22"/>
          <w:szCs w:val="22"/>
        </w:rPr>
        <w:t xml:space="preserve">Las jornadas parciales en TPT e IS y los salarios que, aunque superiores al convenio, no permiten a muchos trabajadores vivir exclusivamente de Pegasus, generan rotación y dificultan la construcción de un equipo profundamente arraigado en los valores de la organización.</w:t>
      </w:r>
    </w:p>
    <w:p>
      <w:pPr>
        <w:pStyle w:val="Heading3"/>
        <w:spacing w:before="240" w:after="120"/>
      </w:pPr>
      <w:r>
        <w:rPr>
          <w:rFonts w:ascii="Arial" w:cs="Arial" w:eastAsia="Arial" w:hAnsi="Arial"/>
          <w:b/>
          <w:bCs/>
          <w:color w:val="333333"/>
          <w:sz w:val="24"/>
          <w:szCs w:val="24"/>
        </w:rPr>
        <w:t xml:space="preserve">6. Análisis de precio pendiente</w:t>
      </w:r>
    </w:p>
    <w:p>
      <w:pPr>
        <w:spacing w:before="80" w:after="120"/>
        <w:jc w:val="both"/>
      </w:pPr>
      <w:r>
        <w:rPr>
          <w:rFonts w:ascii="Arial" w:cs="Arial" w:eastAsia="Arial" w:hAnsi="Arial"/>
          <w:sz w:val="22"/>
          <w:szCs w:val="22"/>
        </w:rPr>
        <w:t xml:space="preserve">No se ha realizado un análisis exhaustivo de la diferencia de precio con el mercado ni de la elasticidad de la demanda. No se sabe con certeza cuánto pueden subirse los precios sin perder familias. Este punto ciego limita la capacidad de tomar decisiones informadas sobre sostenibilidad.</w:t>
      </w:r>
    </w:p>
    <w:p>
      <w:pPr>
        <w:pStyle w:val="Heading2"/>
        <w:spacing w:before="360" w:after="180"/>
      </w:pPr>
      <w:bookmarkStart w:id="3155" w:name="section_sec13_5"/>
      <w:bookmarkEnd w:id="3155"/>
      <w:r>
        <w:rPr>
          <w:rFonts w:ascii="Arial" w:cs="Arial" w:eastAsia="Arial" w:hAnsi="Arial"/>
          <w:b/>
          <w:bCs/>
          <w:color w:val="2E75B6"/>
          <w:sz w:val="28"/>
          <w:szCs w:val="28"/>
        </w:rPr>
        <w:t xml:space="preserve">11.5 Oportunidades no explotadas</w:t>
      </w:r>
    </w:p>
    <w:p>
      <w:pPr>
        <w:pStyle w:val="ListParagraph"/>
        <w:numPr>
          <w:ilvl w:val="0"/>
          <w:numId w:val="2"/>
        </w:numPr>
        <w:spacing w:before="60" w:after="60"/>
      </w:pPr>
      <w:r>
        <w:rPr>
          <w:rFonts w:ascii="Arial" w:cs="Arial" w:eastAsia="Arial" w:hAnsi="Arial"/>
          <w:b w:val="false"/>
          <w:bCs w:val="false"/>
          <w:sz w:val="22"/>
          <w:szCs w:val="22"/>
        </w:rPr>
        <w:t xml:space="preserve">El Plan Bienestar Corporativo: si se lanza y escala, podría convertirse en la primera fuente de ingresos recurrentes empresariales de Indiferente.</w:t>
      </w:r>
    </w:p>
    <w:p>
      <w:pPr>
        <w:pStyle w:val="ListParagraph"/>
        <w:numPr>
          <w:ilvl w:val="0"/>
          <w:numId w:val="2"/>
        </w:numPr>
        <w:spacing w:before="60" w:after="60"/>
      </w:pPr>
      <w:r>
        <w:rPr>
          <w:rFonts w:ascii="Arial" w:cs="Arial" w:eastAsia="Arial" w:hAnsi="Arial"/>
          <w:b w:val="false"/>
          <w:bCs w:val="false"/>
          <w:sz w:val="22"/>
          <w:szCs w:val="22"/>
        </w:rPr>
        <w:t xml:space="preserve">La transferencia de la marca personal de David a la marca institucional: hay 40.000 seguidores más en David que en Pegasus. Con una estrategia deliberada, ese gap puede reducirse y hacer la organización menos dependiente de una sola persona.</w:t>
      </w:r>
    </w:p>
    <w:p>
      <w:pPr>
        <w:pStyle w:val="ListParagraph"/>
        <w:numPr>
          <w:ilvl w:val="0"/>
          <w:numId w:val="2"/>
        </w:numPr>
        <w:spacing w:before="60" w:after="60"/>
      </w:pPr>
      <w:r>
        <w:rPr>
          <w:rFonts w:ascii="Arial" w:cs="Arial" w:eastAsia="Arial" w:hAnsi="Arial"/>
          <w:b w:val="false"/>
          <w:bCs w:val="false"/>
          <w:sz w:val="22"/>
          <w:szCs w:val="22"/>
        </w:rPr>
        <w:t xml:space="preserve">El Consejo Asesor como palanca de apertura empresarial: los perfiles del Consejo pueden abrir puertas a grandes corporaciones para contratos de Indiferente.</w:t>
      </w:r>
    </w:p>
    <w:p>
      <w:pPr>
        <w:pStyle w:val="ListParagraph"/>
        <w:numPr>
          <w:ilvl w:val="0"/>
          <w:numId w:val="2"/>
        </w:numPr>
        <w:spacing w:before="60" w:after="60"/>
      </w:pPr>
      <w:r>
        <w:rPr>
          <w:rFonts w:ascii="Arial" w:cs="Arial" w:eastAsia="Arial" w:hAnsi="Arial"/>
          <w:b w:val="false"/>
          <w:bCs w:val="false"/>
          <w:sz w:val="22"/>
          <w:szCs w:val="22"/>
        </w:rPr>
        <w:t xml:space="preserve">La expansión del modelo 'Municipios que te cuidan' a más núcleos rurales: el modelo FMM es replicable y escalable.</w:t>
      </w:r>
    </w:p>
    <w:p>
      <w:pPr>
        <w:pStyle w:val="ListParagraph"/>
        <w:numPr>
          <w:ilvl w:val="0"/>
          <w:numId w:val="2"/>
        </w:numPr>
        <w:spacing w:before="60" w:after="60"/>
      </w:pPr>
      <w:r>
        <w:rPr>
          <w:rFonts w:ascii="Arial" w:cs="Arial" w:eastAsia="Arial" w:hAnsi="Arial"/>
          <w:b w:val="false"/>
          <w:bCs w:val="false"/>
          <w:sz w:val="22"/>
          <w:szCs w:val="22"/>
        </w:rPr>
        <w:t xml:space="preserve">El desarrollo de la inserción laboral más allá de la restauración: Únete al Flow podría ser el primer paso de un programa sistemático de inserción en múltiples sectores.</w:t>
      </w:r>
    </w:p>
    <w:p>
      <w:r>
        <w:br w:type="page"/>
      </w:r>
    </w:p>
    <w:p>
      <w:pPr>
        <w:pStyle w:val="Heading1"/>
        <w:pBdr>
          <w:bottom w:val="single" w:color="2E75B6" w:sz="8" w:space="4"/>
        </w:pBdr>
        <w:spacing w:before="480" w:after="240"/>
      </w:pPr>
      <w:bookmarkStart w:id="2265" w:name="chapter_ch14"/>
      <w:bookmarkEnd w:id="2265"/>
      <w:r>
        <w:rPr>
          <w:rFonts w:ascii="Arial" w:cs="Arial" w:eastAsia="Arial" w:hAnsi="Arial"/>
          <w:b/>
          <w:bCs/>
          <w:color w:val="1F3864"/>
          <w:sz w:val="36"/>
          <w:szCs w:val="36"/>
        </w:rPr>
        <w:t xml:space="preserve">12. APRENDIZAJES CLAVE Y PUNTOS CIEGOS</w:t>
      </w:r>
    </w:p>
    <w:p>
      <w:pPr>
        <w:pStyle w:val="Heading2"/>
        <w:spacing w:before="360" w:after="180"/>
      </w:pPr>
      <w:bookmarkStart w:id="3055" w:name="section_sec14_1"/>
      <w:bookmarkEnd w:id="3055"/>
      <w:r>
        <w:rPr>
          <w:rFonts w:ascii="Arial" w:cs="Arial" w:eastAsia="Arial" w:hAnsi="Arial"/>
          <w:b/>
          <w:bCs/>
          <w:color w:val="2E75B6"/>
          <w:sz w:val="28"/>
          <w:szCs w:val="28"/>
        </w:rPr>
        <w:t xml:space="preserve">12.1 Lo que ha demostrado funcionar</w:t>
      </w:r>
    </w:p>
    <w:p>
      <w:pPr>
        <w:pStyle w:val="ListParagraph"/>
        <w:numPr>
          <w:ilvl w:val="0"/>
          <w:numId w:val="2"/>
        </w:numPr>
        <w:spacing w:before="60" w:after="60"/>
      </w:pPr>
      <w:r>
        <w:rPr>
          <w:rFonts w:ascii="Arial" w:cs="Arial" w:eastAsia="Arial" w:hAnsi="Arial"/>
          <w:b w:val="false"/>
          <w:bCs w:val="false"/>
          <w:sz w:val="22"/>
          <w:szCs w:val="22"/>
        </w:rPr>
        <w:t xml:space="preserve">El modelo de cesión de espacios con ayuntamientos elimina el mayor coste de estructura (alquiler) y permite precios accesibles sin comprometer calidad.</w:t>
      </w:r>
    </w:p>
    <w:p>
      <w:pPr>
        <w:pStyle w:val="ListParagraph"/>
        <w:numPr>
          <w:ilvl w:val="0"/>
          <w:numId w:val="2"/>
        </w:numPr>
        <w:spacing w:before="60" w:after="60"/>
      </w:pPr>
      <w:r>
        <w:rPr>
          <w:rFonts w:ascii="Arial" w:cs="Arial" w:eastAsia="Arial" w:hAnsi="Arial"/>
          <w:b w:val="false"/>
          <w:bCs w:val="false"/>
          <w:sz w:val="22"/>
          <w:szCs w:val="22"/>
        </w:rPr>
        <w:t xml:space="preserve">La metodología de inteligencia emocional + juego + humor genera un diferencial real frente a cualquier competidor del sector.</w:t>
      </w:r>
    </w:p>
    <w:p>
      <w:pPr>
        <w:pStyle w:val="ListParagraph"/>
        <w:numPr>
          <w:ilvl w:val="0"/>
          <w:numId w:val="2"/>
        </w:numPr>
        <w:spacing w:before="60" w:after="60"/>
      </w:pPr>
      <w:r>
        <w:rPr>
          <w:rFonts w:ascii="Arial" w:cs="Arial" w:eastAsia="Arial" w:hAnsi="Arial"/>
          <w:b w:val="false"/>
          <w:bCs w:val="false"/>
          <w:sz w:val="22"/>
          <w:szCs w:val="22"/>
        </w:rPr>
        <w:t xml:space="preserve">El reposicionamiento de Indiferente hacia el canal institucional ha demostrado resultados en el corto plazo: el convenio FMM y el proyecto CCMM son la prueba.</w:t>
      </w:r>
    </w:p>
    <w:p>
      <w:pPr>
        <w:pStyle w:val="ListParagraph"/>
        <w:numPr>
          <w:ilvl w:val="0"/>
          <w:numId w:val="2"/>
        </w:numPr>
        <w:spacing w:before="60" w:after="60"/>
      </w:pPr>
      <w:r>
        <w:rPr>
          <w:rFonts w:ascii="Arial" w:cs="Arial" w:eastAsia="Arial" w:hAnsi="Arial"/>
          <w:b w:val="false"/>
          <w:bCs w:val="false"/>
          <w:sz w:val="22"/>
          <w:szCs w:val="22"/>
        </w:rPr>
        <w:t xml:space="preserve">Las dinámicas emocionales internas semanales generan cohesión y reducen el burnout en un sector de alto desgaste emocional.</w:t>
      </w:r>
    </w:p>
    <w:p>
      <w:pPr>
        <w:pStyle w:val="ListParagraph"/>
        <w:numPr>
          <w:ilvl w:val="0"/>
          <w:numId w:val="2"/>
        </w:numPr>
        <w:spacing w:before="60" w:after="60"/>
      </w:pPr>
      <w:r>
        <w:rPr>
          <w:rFonts w:ascii="Arial" w:cs="Arial" w:eastAsia="Arial" w:hAnsi="Arial"/>
          <w:b w:val="false"/>
          <w:bCs w:val="false"/>
          <w:sz w:val="22"/>
          <w:szCs w:val="22"/>
        </w:rPr>
        <w:t xml:space="preserve">La historia personal de David es la herramienta de ventas más poderosa de la organización.</w:t>
      </w:r>
    </w:p>
    <w:p>
      <w:pPr>
        <w:pStyle w:val="ListParagraph"/>
        <w:numPr>
          <w:ilvl w:val="0"/>
          <w:numId w:val="2"/>
        </w:numPr>
        <w:spacing w:before="60" w:after="60"/>
      </w:pPr>
      <w:r>
        <w:rPr>
          <w:rFonts w:ascii="Arial" w:cs="Arial" w:eastAsia="Arial" w:hAnsi="Arial"/>
          <w:b w:val="false"/>
          <w:bCs w:val="false"/>
          <w:sz w:val="22"/>
          <w:szCs w:val="22"/>
        </w:rPr>
        <w:t xml:space="preserve">Apostar por contratos indefinidos en un sector con alta temporalidad mejora la calidad del servicio y la fidelidad de los trabajadores.</w:t>
      </w:r>
    </w:p>
    <w:p>
      <w:pPr>
        <w:pStyle w:val="Heading2"/>
        <w:spacing w:before="360" w:after="180"/>
      </w:pPr>
      <w:bookmarkStart w:id="4544" w:name="section_sec14_2"/>
      <w:bookmarkEnd w:id="4544"/>
      <w:r>
        <w:rPr>
          <w:rFonts w:ascii="Arial" w:cs="Arial" w:eastAsia="Arial" w:hAnsi="Arial"/>
          <w:b/>
          <w:bCs/>
          <w:color w:val="2E75B6"/>
          <w:sz w:val="28"/>
          <w:szCs w:val="28"/>
        </w:rPr>
        <w:t xml:space="preserve">12.2 Lo que ha generado aprendizajes difíciles</w:t>
      </w:r>
    </w:p>
    <w:p>
      <w:pPr>
        <w:pStyle w:val="ListParagraph"/>
        <w:numPr>
          <w:ilvl w:val="0"/>
          <w:numId w:val="2"/>
        </w:numPr>
        <w:spacing w:before="60" w:after="60"/>
      </w:pPr>
      <w:r>
        <w:rPr>
          <w:rFonts w:ascii="Arial" w:cs="Arial" w:eastAsia="Arial" w:hAnsi="Arial"/>
          <w:b w:val="false"/>
          <w:bCs w:val="false"/>
          <w:sz w:val="22"/>
          <w:szCs w:val="22"/>
        </w:rPr>
        <w:t xml:space="preserve">Contratar equipo antes de tener la demanda cubierta genera pérdidas contables que se recuperan cuando se llena la ocupación, pero crea tensión financiera en el intermedio.</w:t>
      </w:r>
    </w:p>
    <w:p>
      <w:pPr>
        <w:pStyle w:val="ListParagraph"/>
        <w:numPr>
          <w:ilvl w:val="0"/>
          <w:numId w:val="2"/>
        </w:numPr>
        <w:spacing w:before="60" w:after="60"/>
      </w:pPr>
      <w:r>
        <w:rPr>
          <w:rFonts w:ascii="Arial" w:cs="Arial" w:eastAsia="Arial" w:hAnsi="Arial"/>
          <w:b w:val="false"/>
          <w:bCs w:val="false"/>
          <w:sz w:val="22"/>
          <w:szCs w:val="22"/>
        </w:rPr>
        <w:t xml:space="preserve">La irregularidad de ingresos de Indiferente hace muy difícil la planificación financiera a más de 6 meses.</w:t>
      </w:r>
    </w:p>
    <w:p>
      <w:pPr>
        <w:pStyle w:val="ListParagraph"/>
        <w:numPr>
          <w:ilvl w:val="0"/>
          <w:numId w:val="2"/>
        </w:numPr>
        <w:spacing w:before="60" w:after="60"/>
      </w:pPr>
      <w:r>
        <w:rPr>
          <w:rFonts w:ascii="Arial" w:cs="Arial" w:eastAsia="Arial" w:hAnsi="Arial"/>
          <w:b w:val="false"/>
          <w:bCs w:val="false"/>
          <w:sz w:val="22"/>
          <w:szCs w:val="22"/>
        </w:rPr>
        <w:t xml:space="preserve">El Cultural Identity Book de 2025 demuestra que es posible definir una cultura potente en papel, pero trasladarla al equipo requiere tiempo y recursos que la operativa cotidiana no siempre permite.</w:t>
      </w:r>
    </w:p>
    <w:p>
      <w:pPr>
        <w:pStyle w:val="ListParagraph"/>
        <w:numPr>
          <w:ilvl w:val="0"/>
          <w:numId w:val="2"/>
        </w:numPr>
        <w:spacing w:before="60" w:after="60"/>
      </w:pPr>
      <w:r>
        <w:rPr>
          <w:rFonts w:ascii="Arial" w:cs="Arial" w:eastAsia="Arial" w:hAnsi="Arial"/>
          <w:b w:val="false"/>
          <w:bCs w:val="false"/>
          <w:sz w:val="22"/>
          <w:szCs w:val="22"/>
        </w:rPr>
        <w:t xml:space="preserve">La dependencia de David como figura pública es más alta de lo que el organigrama muestra. Hay que trabajar activamente en reducirla.</w:t>
      </w:r>
    </w:p>
    <w:p>
      <w:pPr>
        <w:pStyle w:val="Heading2"/>
        <w:spacing w:before="360" w:after="180"/>
      </w:pPr>
      <w:bookmarkStart w:id="7045" w:name="section_sec14_3"/>
      <w:bookmarkEnd w:id="7045"/>
      <w:r>
        <w:rPr>
          <w:rFonts w:ascii="Arial" w:cs="Arial" w:eastAsia="Arial" w:hAnsi="Arial"/>
          <w:b/>
          <w:bCs/>
          <w:color w:val="2E75B6"/>
          <w:sz w:val="28"/>
          <w:szCs w:val="28"/>
        </w:rPr>
        <w:t xml:space="preserve">12.3 Puntos ciegos identificados</w:t>
      </w:r>
    </w:p>
    <w:p>
      <w:pPr>
        <w:pStyle w:val="ListParagraph"/>
        <w:numPr>
          <w:ilvl w:val="0"/>
          <w:numId w:val="2"/>
        </w:numPr>
        <w:spacing w:before="60" w:after="60"/>
      </w:pPr>
      <w:r>
        <w:rPr>
          <w:rFonts w:ascii="Arial" w:cs="Arial" w:eastAsia="Arial" w:hAnsi="Arial"/>
          <w:b w:val="false"/>
          <w:bCs w:val="false"/>
          <w:sz w:val="22"/>
          <w:szCs w:val="22"/>
        </w:rPr>
        <w:t xml:space="preserve">No existe un análisis de precio de mercado que responda a la pregunta: ¿cuánto podríamos cobrar sin perder familias?</w:t>
      </w:r>
    </w:p>
    <w:p>
      <w:pPr>
        <w:pStyle w:val="ListParagraph"/>
        <w:numPr>
          <w:ilvl w:val="0"/>
          <w:numId w:val="2"/>
        </w:numPr>
        <w:spacing w:before="60" w:after="60"/>
      </w:pPr>
      <w:r>
        <w:rPr>
          <w:rFonts w:ascii="Arial" w:cs="Arial" w:eastAsia="Arial" w:hAnsi="Arial"/>
          <w:b w:val="false"/>
          <w:bCs w:val="false"/>
          <w:sz w:val="22"/>
          <w:szCs w:val="22"/>
        </w:rPr>
        <w:t xml:space="preserve">No se ha medido el NPS (Net Promoter Score) ni la satisfacción de las familias de forma sistemática.</w:t>
      </w:r>
    </w:p>
    <w:p>
      <w:pPr>
        <w:pStyle w:val="ListParagraph"/>
        <w:numPr>
          <w:ilvl w:val="0"/>
          <w:numId w:val="2"/>
        </w:numPr>
        <w:spacing w:before="60" w:after="60"/>
      </w:pPr>
      <w:r>
        <w:rPr>
          <w:rFonts w:ascii="Arial" w:cs="Arial" w:eastAsia="Arial" w:hAnsi="Arial"/>
          <w:b w:val="false"/>
          <w:bCs w:val="false"/>
          <w:sz w:val="22"/>
          <w:szCs w:val="22"/>
        </w:rPr>
        <w:t xml:space="preserve">No existe un plan de contingencia documentado para el escenario de baja de David por cualquier causa.</w:t>
      </w:r>
    </w:p>
    <w:p>
      <w:pPr>
        <w:pStyle w:val="ListParagraph"/>
        <w:numPr>
          <w:ilvl w:val="0"/>
          <w:numId w:val="2"/>
        </w:numPr>
        <w:spacing w:before="60" w:after="60"/>
      </w:pPr>
      <w:r>
        <w:rPr>
          <w:rFonts w:ascii="Arial" w:cs="Arial" w:eastAsia="Arial" w:hAnsi="Arial"/>
          <w:b w:val="false"/>
          <w:bCs w:val="false"/>
          <w:sz w:val="22"/>
          <w:szCs w:val="22"/>
        </w:rPr>
        <w:t xml:space="preserve">El Plan Bienestar Corporativo lleva tiempo en desarrollo sin haber llegado a MVP. Es urgente decidir si se lanza o se descarta.</w:t>
      </w:r>
    </w:p>
    <w:p>
      <w:pPr>
        <w:pStyle w:val="ListParagraph"/>
        <w:numPr>
          <w:ilvl w:val="0"/>
          <w:numId w:val="2"/>
        </w:numPr>
        <w:spacing w:before="60" w:after="60"/>
      </w:pPr>
      <w:r>
        <w:rPr>
          <w:rFonts w:ascii="Arial" w:cs="Arial" w:eastAsia="Arial" w:hAnsi="Arial"/>
          <w:b w:val="false"/>
          <w:bCs w:val="false"/>
          <w:sz w:val="22"/>
          <w:szCs w:val="22"/>
        </w:rPr>
        <w:t xml:space="preserve">La fricción del modelo de compromiso anual en TPT no ha sido cuantificada. Se desconoce cuántas familias no contratan por esta razón.</w:t>
      </w:r>
    </w:p>
    <w:p>
      <w:pPr>
        <w:pStyle w:val="ListParagraph"/>
        <w:numPr>
          <w:ilvl w:val="0"/>
          <w:numId w:val="2"/>
        </w:numPr>
        <w:spacing w:before="60" w:after="60"/>
      </w:pPr>
      <w:r>
        <w:rPr>
          <w:rFonts w:ascii="Arial" w:cs="Arial" w:eastAsia="Arial" w:hAnsi="Arial"/>
          <w:b w:val="false"/>
          <w:bCs w:val="false"/>
          <w:sz w:val="22"/>
          <w:szCs w:val="22"/>
        </w:rPr>
        <w:t xml:space="preserve">No hay estrategia explícita para captar contratos con ayuntamientos de signo político diferente al PP.</w:t>
      </w:r>
    </w:p>
    <w:p>
      <w:r>
        <w:br w:type="page"/>
      </w:r>
    </w:p>
    <w:p>
      <w:pPr>
        <w:spacing w:before="480" w:after="120"/>
        <w:jc w:val="center"/>
      </w:pPr>
      <w:r>
        <w:rPr>
          <w:rFonts w:ascii="Arial" w:cs="Arial" w:eastAsia="Arial" w:hAnsi="Arial"/>
          <w:b/>
          <w:bCs/>
          <w:color w:val="2E75B6"/>
          <w:sz w:val="28"/>
          <w:szCs w:val="28"/>
          <w:caps/>
        </w:rPr>
        <w:t xml:space="preserve">PARTE V — REFERENCIA</w:t>
      </w:r>
    </w:p>
    <w:p>
      <w:pPr>
        <w:pBdr>
          <w:bottom w:val="single" w:color="2E75B6" w:sz="6" w:space="4"/>
        </w:pBdr>
        <w:spacing w:before="0" w:after="240"/>
      </w:pPr>
      <w:r>
        <w:rPr/>
        <w:t/>
      </w:r>
    </w:p>
    <w:p>
      <w:pPr>
        <w:spacing w:before="480" w:after="120"/>
        <w:jc w:val="center"/>
      </w:pPr>
      <w:r>
        <w:rPr>
          <w:rFonts w:ascii="Arial" w:cs="Arial" w:eastAsia="Arial" w:hAnsi="Arial"/>
          <w:b/>
          <w:bCs/>
          <w:color w:val="2E75B6"/>
          <w:sz w:val="28"/>
          <w:szCs w:val="28"/>
          <w:caps/>
        </w:rPr>
        <w:t xml:space="preserve">PARTE V — REFERENCIA</w:t>
      </w:r>
    </w:p>
    <w:p>
      <w:pPr>
        <w:pBdr>
          <w:bottom w:val="single" w:color="2E75B6" w:sz="6" w:space="4"/>
        </w:pBdr>
        <w:spacing w:before="0" w:after="240"/>
      </w:pPr>
      <w:r>
        <w:rPr/>
        <w:t/>
      </w:r>
    </w:p>
    <w:p>
      <w:pPr>
        <w:pStyle w:val="Heading1"/>
        <w:pBdr>
          <w:bottom w:val="single" w:color="2E75B6" w:sz="8" w:space="4"/>
        </w:pBdr>
        <w:spacing w:before="480" w:after="240"/>
      </w:pPr>
      <w:bookmarkStart w:id="9476" w:name="chapter_ch15"/>
      <w:bookmarkEnd w:id="9476"/>
      <w:r>
        <w:rPr>
          <w:rFonts w:ascii="Arial" w:cs="Arial" w:eastAsia="Arial" w:hAnsi="Arial"/>
          <w:b/>
          <w:bCs/>
          <w:color w:val="1F3864"/>
          <w:sz w:val="36"/>
          <w:szCs w:val="36"/>
        </w:rPr>
        <w:t xml:space="preserve">13. GLOSARIO Y TÉRMINOS CLAVE</w:t>
      </w:r>
    </w:p>
    <w:p>
      <w:pPr>
        <w:spacing w:before="120" w:after="120"/>
      </w:pPr>
      <w:r>
        <w:t xml:space="preserve"/>
      </w:r>
    </w:p>
    <w:p>
      <w:r>
        <w:rPr>
          <w:rFonts w:ascii="Arial" w:cs="Arial" w:eastAsia="Arial" w:hAnsi="Arial"/>
          <w:b/>
          <w:bCs/>
          <w:color w:val="FFFFFF"/>
          <w:sz w:val="20"/>
          <w:szCs w:val="20"/>
        </w:rPr>
        <w:t xml:space="preserve">Término</w:t>
      </w:r>
    </w:p>
    <w:p>
      <w:r>
        <w:rPr>
          <w:rFonts w:ascii="Arial" w:cs="Arial" w:eastAsia="Arial" w:hAnsi="Arial"/>
          <w:b/>
          <w:bCs/>
          <w:color w:val="FFFFFF"/>
          <w:sz w:val="20"/>
          <w:szCs w:val="20"/>
        </w:rPr>
        <w:t xml:space="preserve">Definición</w:t>
      </w:r>
    </w:p>
    <w:p>
      <w:r>
        <w:rPr>
          <w:rFonts w:ascii="Arial" w:cs="Arial" w:eastAsia="Arial" w:hAnsi="Arial"/>
          <w:b w:val="false"/>
          <w:bCs w:val="false"/>
          <w:color w:val="1A1A1A"/>
          <w:sz w:val="20"/>
          <w:szCs w:val="20"/>
        </w:rPr>
        <w:t xml:space="preserve">TPT</w:t>
      </w:r>
    </w:p>
    <w:p>
      <w:r>
        <w:rPr>
          <w:rFonts w:ascii="Arial" w:cs="Arial" w:eastAsia="Arial" w:hAnsi="Arial"/>
          <w:b w:val="false"/>
          <w:bCs w:val="false"/>
          <w:color w:val="1A1A1A"/>
          <w:sz w:val="20"/>
          <w:szCs w:val="20"/>
        </w:rPr>
        <w:t xml:space="preserve">Terapia Para Todos. Vertical de servicios terapéuticos accesibles para personas con y sin discapacidad.</w:t>
      </w:r>
    </w:p>
    <w:p>
      <w:r>
        <w:rPr>
          <w:rFonts w:ascii="Arial" w:cs="Arial" w:eastAsia="Arial" w:hAnsi="Arial"/>
          <w:b w:val="false"/>
          <w:bCs w:val="false"/>
          <w:color w:val="1A1A1A"/>
          <w:sz w:val="20"/>
          <w:szCs w:val="20"/>
        </w:rPr>
        <w:t xml:space="preserve">IS</w:t>
      </w:r>
    </w:p>
    <w:p>
      <w:r>
        <w:rPr>
          <w:rFonts w:ascii="Arial" w:cs="Arial" w:eastAsia="Arial" w:hAnsi="Arial"/>
          <w:b w:val="false"/>
          <w:bCs w:val="false"/>
          <w:color w:val="1A1A1A"/>
          <w:sz w:val="20"/>
          <w:szCs w:val="20"/>
        </w:rPr>
        <w:t xml:space="preserve">Inclusive Sport. Vertical de deporte y ocio inclusivo.</w:t>
      </w:r>
    </w:p>
    <w:p>
      <w:r>
        <w:rPr>
          <w:rFonts w:ascii="Arial" w:cs="Arial" w:eastAsia="Arial" w:hAnsi="Arial"/>
          <w:b w:val="false"/>
          <w:bCs w:val="false"/>
          <w:color w:val="1A1A1A"/>
          <w:sz w:val="20"/>
          <w:szCs w:val="20"/>
        </w:rPr>
        <w:t xml:space="preserve">Indiferente</w:t>
      </w:r>
    </w:p>
    <w:p>
      <w:r>
        <w:rPr>
          <w:rFonts w:ascii="Arial" w:cs="Arial" w:eastAsia="Arial" w:hAnsi="Arial"/>
          <w:b w:val="false"/>
          <w:bCs w:val="false"/>
          <w:color w:val="1A1A1A"/>
          <w:sz w:val="20"/>
          <w:szCs w:val="20"/>
        </w:rPr>
        <w:t xml:space="preserve">Consultoría de diversidad e inclusión para empresas y administraciones.</w:t>
      </w:r>
    </w:p>
    <w:p>
      <w:r>
        <w:rPr>
          <w:rFonts w:ascii="Arial" w:cs="Arial" w:eastAsia="Arial" w:hAnsi="Arial"/>
          <w:b w:val="false"/>
          <w:bCs w:val="false"/>
          <w:color w:val="1A1A1A"/>
          <w:sz w:val="20"/>
          <w:szCs w:val="20"/>
        </w:rPr>
        <w:t xml:space="preserve">FMM</w:t>
      </w:r>
    </w:p>
    <w:p>
      <w:r>
        <w:rPr>
          <w:rFonts w:ascii="Arial" w:cs="Arial" w:eastAsia="Arial" w:hAnsi="Arial"/>
          <w:b w:val="false"/>
          <w:bCs w:val="false"/>
          <w:color w:val="1A1A1A"/>
          <w:sz w:val="20"/>
          <w:szCs w:val="20"/>
        </w:rPr>
        <w:t xml:space="preserve">Federación Madrileña de Municipios. Principal partner institucional de Pegasus.</w:t>
      </w:r>
    </w:p>
    <w:p>
      <w:r>
        <w:rPr>
          <w:rFonts w:ascii="Arial" w:cs="Arial" w:eastAsia="Arial" w:hAnsi="Arial"/>
          <w:b w:val="false"/>
          <w:bCs w:val="false"/>
          <w:color w:val="1A1A1A"/>
          <w:sz w:val="20"/>
          <w:szCs w:val="20"/>
        </w:rPr>
        <w:t xml:space="preserve">CCMM</w:t>
      </w:r>
    </w:p>
    <w:p>
      <w:r>
        <w:rPr>
          <w:rFonts w:ascii="Arial" w:cs="Arial" w:eastAsia="Arial" w:hAnsi="Arial"/>
          <w:b w:val="false"/>
          <w:bCs w:val="false"/>
          <w:color w:val="1A1A1A"/>
          <w:sz w:val="20"/>
          <w:szCs w:val="20"/>
        </w:rPr>
        <w:t xml:space="preserve">Comunidad de Madrid. Segundo gran cliente institucional.</w:t>
      </w:r>
    </w:p>
    <w:p>
      <w:r>
        <w:rPr>
          <w:rFonts w:ascii="Arial" w:cs="Arial" w:eastAsia="Arial" w:hAnsi="Arial"/>
          <w:b w:val="false"/>
          <w:bCs w:val="false"/>
          <w:color w:val="1A1A1A"/>
          <w:sz w:val="20"/>
          <w:szCs w:val="20"/>
        </w:rPr>
        <w:t xml:space="preserve">LTV</w:t>
      </w:r>
    </w:p>
    <w:p>
      <w:r>
        <w:rPr>
          <w:rFonts w:ascii="Arial" w:cs="Arial" w:eastAsia="Arial" w:hAnsi="Arial"/>
          <w:b w:val="false"/>
          <w:bCs w:val="false"/>
          <w:color w:val="1A1A1A"/>
          <w:sz w:val="20"/>
          <w:szCs w:val="20"/>
        </w:rPr>
        <w:t xml:space="preserve">Lifetime Value. Valor de vida del cliente. En TPT e IS es muy alto por la cronicidad de las necesidades.</w:t>
      </w:r>
    </w:p>
    <w:p>
      <w:r>
        <w:rPr>
          <w:rFonts w:ascii="Arial" w:cs="Arial" w:eastAsia="Arial" w:hAnsi="Arial"/>
          <w:b w:val="false"/>
          <w:bCs w:val="false"/>
          <w:color w:val="1A1A1A"/>
          <w:sz w:val="20"/>
          <w:szCs w:val="20"/>
        </w:rPr>
        <w:t xml:space="preserve">Break-even</w:t>
      </w:r>
    </w:p>
    <w:p>
      <w:r>
        <w:rPr>
          <w:rFonts w:ascii="Arial" w:cs="Arial" w:eastAsia="Arial" w:hAnsi="Arial"/>
          <w:b w:val="false"/>
          <w:bCs w:val="false"/>
          <w:color w:val="1A1A1A"/>
          <w:sz w:val="20"/>
          <w:szCs w:val="20"/>
        </w:rPr>
        <w:t xml:space="preserve">Punto de equilibrio entre ingresos y costes. En TPT está al 73% de ocupación.</w:t>
      </w:r>
    </w:p>
    <w:p>
      <w:r>
        <w:rPr>
          <w:rFonts w:ascii="Arial" w:cs="Arial" w:eastAsia="Arial" w:hAnsi="Arial"/>
          <w:b w:val="false"/>
          <w:bCs w:val="false"/>
          <w:color w:val="1A1A1A"/>
          <w:sz w:val="20"/>
          <w:szCs w:val="20"/>
        </w:rPr>
        <w:t xml:space="preserve">Cobro ágil</w:t>
      </w:r>
    </w:p>
    <w:p>
      <w:r>
        <w:rPr>
          <w:rFonts w:ascii="Arial" w:cs="Arial" w:eastAsia="Arial" w:hAnsi="Arial"/>
          <w:b w:val="false"/>
          <w:bCs w:val="false"/>
          <w:color w:val="1A1A1A"/>
          <w:sz w:val="20"/>
          <w:szCs w:val="20"/>
        </w:rPr>
        <w:t xml:space="preserve">Línea de crédito para financiar el gap de 45-60 días entre prestación del servicio y cobro de AAPP.</w:t>
      </w:r>
    </w:p>
    <w:p>
      <w:r>
        <w:rPr>
          <w:rFonts w:ascii="Arial" w:cs="Arial" w:eastAsia="Arial" w:hAnsi="Arial"/>
          <w:b w:val="false"/>
          <w:bCs w:val="false"/>
          <w:color w:val="1A1A1A"/>
          <w:sz w:val="20"/>
          <w:szCs w:val="20"/>
        </w:rPr>
        <w:t xml:space="preserve">Diparesia espástica</w:t>
      </w:r>
    </w:p>
    <w:p>
      <w:r>
        <w:rPr>
          <w:rFonts w:ascii="Arial" w:cs="Arial" w:eastAsia="Arial" w:hAnsi="Arial"/>
          <w:b w:val="false"/>
          <w:bCs w:val="false"/>
          <w:color w:val="1A1A1A"/>
          <w:sz w:val="20"/>
          <w:szCs w:val="20"/>
        </w:rPr>
        <w:t xml:space="preserve">Condición de David Rodríguez. Dificultad en el movimiento de los miembros inferiores por espasticidad muscular.</w:t>
      </w:r>
    </w:p>
    <w:p>
      <w:r>
        <w:rPr>
          <w:rFonts w:ascii="Arial" w:cs="Arial" w:eastAsia="Arial" w:hAnsi="Arial"/>
          <w:b w:val="false"/>
          <w:bCs w:val="false"/>
          <w:color w:val="1A1A1A"/>
          <w:sz w:val="20"/>
          <w:szCs w:val="20"/>
        </w:rPr>
        <w:t xml:space="preserve">Convenio de singularidad ad hoc</w:t>
      </w:r>
    </w:p>
    <w:p>
      <w:r>
        <w:rPr>
          <w:rFonts w:ascii="Arial" w:cs="Arial" w:eastAsia="Arial" w:hAnsi="Arial"/>
          <w:b w:val="false"/>
          <w:bCs w:val="false"/>
          <w:color w:val="1A1A1A"/>
          <w:sz w:val="20"/>
          <w:szCs w:val="20"/>
        </w:rPr>
        <w:t xml:space="preserve">Contrato diseñado específicamente para Pegasus por la Comunidad de Madrid. 150.000€ en proceso de firma.</w:t>
      </w:r>
    </w:p>
    <w:p>
      <w:r>
        <w:rPr>
          <w:rFonts w:ascii="Arial" w:cs="Arial" w:eastAsia="Arial" w:hAnsi="Arial"/>
          <w:b w:val="false"/>
          <w:bCs w:val="false"/>
          <w:color w:val="1A1A1A"/>
          <w:sz w:val="20"/>
          <w:szCs w:val="20"/>
        </w:rPr>
        <w:t xml:space="preserve">PiscinaSUS</w:t>
      </w:r>
    </w:p>
    <w:p>
      <w:r>
        <w:rPr>
          <w:rFonts w:ascii="Arial" w:cs="Arial" w:eastAsia="Arial" w:hAnsi="Arial"/>
          <w:b w:val="false"/>
          <w:bCs w:val="false"/>
          <w:color w:val="1A1A1A"/>
          <w:sz w:val="20"/>
          <w:szCs w:val="20"/>
        </w:rPr>
        <w:t xml:space="preserve">Nombre propio de las sesiones de natación adaptada de IS.</w:t>
      </w:r>
    </w:p>
    <w:p>
      <w:r>
        <w:rPr>
          <w:rFonts w:ascii="Arial" w:cs="Arial" w:eastAsia="Arial" w:hAnsi="Arial"/>
          <w:b w:val="false"/>
          <w:bCs w:val="false"/>
          <w:color w:val="1A1A1A"/>
          <w:sz w:val="20"/>
          <w:szCs w:val="20"/>
        </w:rPr>
        <w:t xml:space="preserve">GimnaSUS</w:t>
      </w:r>
    </w:p>
    <w:p>
      <w:r>
        <w:rPr>
          <w:rFonts w:ascii="Arial" w:cs="Arial" w:eastAsia="Arial" w:hAnsi="Arial"/>
          <w:b w:val="false"/>
          <w:bCs w:val="false"/>
          <w:color w:val="1A1A1A"/>
          <w:sz w:val="20"/>
          <w:szCs w:val="20"/>
        </w:rPr>
        <w:t xml:space="preserve">Nombre propio de las sesiones de acondicionamiento físico de IS.</w:t>
      </w:r>
    </w:p>
    <w:p>
      <w:r>
        <w:rPr>
          <w:rFonts w:ascii="Arial" w:cs="Arial" w:eastAsia="Arial" w:hAnsi="Arial"/>
          <w:b w:val="false"/>
          <w:bCs w:val="false"/>
          <w:color w:val="1A1A1A"/>
          <w:sz w:val="20"/>
          <w:szCs w:val="20"/>
        </w:rPr>
        <w:t xml:space="preserve">Terapia Integral</w:t>
      </w:r>
    </w:p>
    <w:p>
      <w:r>
        <w:rPr>
          <w:rFonts w:ascii="Arial" w:cs="Arial" w:eastAsia="Arial" w:hAnsi="Arial"/>
          <w:b w:val="false"/>
          <w:bCs w:val="false"/>
          <w:color w:val="1A1A1A"/>
          <w:sz w:val="20"/>
          <w:szCs w:val="20"/>
        </w:rPr>
        <w:t xml:space="preserve">Modalidad de TPT disponible en municipios FMM. Un terapeuta ocupacional apoyado remotamente por otros especialistas.</w:t>
      </w:r>
    </w:p>
    <w:p>
      <w:r>
        <w:rPr>
          <w:rFonts w:ascii="Arial" w:cs="Arial" w:eastAsia="Arial" w:hAnsi="Arial"/>
          <w:b w:val="false"/>
          <w:bCs w:val="false"/>
          <w:color w:val="1A1A1A"/>
          <w:sz w:val="20"/>
          <w:szCs w:val="20"/>
        </w:rPr>
        <w:t xml:space="preserve">Plan Bienestar Corporativo</w:t>
      </w:r>
    </w:p>
    <w:p>
      <w:r>
        <w:rPr>
          <w:rFonts w:ascii="Arial" w:cs="Arial" w:eastAsia="Arial" w:hAnsi="Arial"/>
          <w:b w:val="false"/>
          <w:bCs w:val="false"/>
          <w:color w:val="1A1A1A"/>
          <w:sz w:val="20"/>
          <w:szCs w:val="20"/>
        </w:rPr>
        <w:t xml:space="preserve">Servicio de Indiferente en fase de MVP. Sesiones de psicología online para empleados de empresas cliente.</w:t>
      </w:r>
    </w:p>
    <w:p>
      <w:r>
        <w:rPr>
          <w:rFonts w:ascii="Arial" w:cs="Arial" w:eastAsia="Arial" w:hAnsi="Arial"/>
          <w:b w:val="false"/>
          <w:bCs w:val="false"/>
          <w:color w:val="1A1A1A"/>
          <w:sz w:val="20"/>
          <w:szCs w:val="20"/>
        </w:rPr>
        <w:t xml:space="preserve">Únete al Flow</w:t>
      </w:r>
    </w:p>
    <w:p>
      <w:r>
        <w:rPr>
          <w:rFonts w:ascii="Arial" w:cs="Arial" w:eastAsia="Arial" w:hAnsi="Arial"/>
          <w:b w:val="false"/>
          <w:bCs w:val="false"/>
          <w:color w:val="1A1A1A"/>
          <w:sz w:val="20"/>
          <w:szCs w:val="20"/>
        </w:rPr>
        <w:t xml:space="preserve">Vertical de restauración inclusiva e inserción laboral, en alianza con Black Bull.</w:t>
      </w:r>
    </w:p>
    <w:p>
      <w:r>
        <w:rPr>
          <w:rFonts w:ascii="Arial" w:cs="Arial" w:eastAsia="Arial" w:hAnsi="Arial"/>
          <w:b w:val="false"/>
          <w:bCs w:val="false"/>
          <w:color w:val="1A1A1A"/>
          <w:sz w:val="20"/>
          <w:szCs w:val="20"/>
        </w:rPr>
        <w:t xml:space="preserve">Cultural Identity Book</w:t>
      </w:r>
    </w:p>
    <w:p>
      <w:r>
        <w:rPr>
          <w:rFonts w:ascii="Arial" w:cs="Arial" w:eastAsia="Arial" w:hAnsi="Arial"/>
          <w:b w:val="false"/>
          <w:bCs w:val="false"/>
          <w:color w:val="1A1A1A"/>
          <w:sz w:val="20"/>
          <w:szCs w:val="20"/>
        </w:rPr>
        <w:t xml:space="preserve">Documento de identidad cultural de Pegasus desarrollado en 2025, pendiente de implementación interna.</w:t>
      </w:r>
    </w:p>
    <w:p>
      <w:r>
        <w:rPr>
          <w:rFonts w:ascii="Arial" w:cs="Arial" w:eastAsia="Arial" w:hAnsi="Arial"/>
          <w:b w:val="false"/>
          <w:bCs w:val="false"/>
          <w:color w:val="1A1A1A"/>
          <w:sz w:val="20"/>
          <w:szCs w:val="20"/>
        </w:rPr>
        <w:t xml:space="preserve">ERG</w:t>
      </w:r>
    </w:p>
    <w:p>
      <w:r>
        <w:rPr>
          <w:rFonts w:ascii="Arial" w:cs="Arial" w:eastAsia="Arial" w:hAnsi="Arial"/>
          <w:b w:val="false"/>
          <w:bCs w:val="false"/>
          <w:color w:val="1A1A1A"/>
          <w:sz w:val="20"/>
          <w:szCs w:val="20"/>
        </w:rPr>
        <w:t xml:space="preserve">Employee Resource Group. Grupo de empleados por afinidad dentro de una empresa. Uno de los servicios de Indiferente.</w:t>
      </w:r>
    </w:p>
    <w:p>
      <w:pPr>
        <w:spacing w:before="120" w:after="120"/>
      </w:pPr>
      <w:r>
        <w:t xml:space="preserve"/>
      </w:r>
    </w:p>
    <w:p>
      <w:pPr>
        <w:spacing w:before="120" w:after="120"/>
      </w:pPr>
      <w:r>
        <w:t xml:space="preserve"/>
      </w:r>
    </w:p>
    <w:p>
      <w:pPr>
        <w:spacing w:before="480" w:after="240"/>
        <w:jc w:val="center"/>
      </w:pPr>
      <w:r>
        <w:rPr>
          <w:rFonts w:ascii="Arial" w:cs="Arial" w:eastAsia="Arial" w:hAnsi="Arial"/>
          <w:b/>
          <w:bCs/>
          <w:color w:val="888888"/>
          <w:sz w:val="22"/>
          <w:szCs w:val="22"/>
        </w:rPr>
        <w:t xml:space="preserve">— FIN DEL DOCUMENTO —</w:t>
      </w:r>
    </w:p>
    <w:p>
      <w:pPr>
        <w:jc w:val="center"/>
      </w:pPr>
      <w:r>
        <w:rPr>
          <w:rFonts w:ascii="Arial" w:cs="Arial" w:eastAsia="Arial" w:hAnsi="Arial"/>
          <w:color w:val="AAAAAA"/>
          <w:sz w:val="18"/>
          <w:szCs w:val="18"/>
        </w:rPr>
        <w:t xml:space="preserve">Fundación Pegasus · Manual Integral de Organización · Versión 1.0 · Marzo 2026</w:t>
      </w:r>
    </w:p>
    <w:p>
      <w:pPr>
        <w:spacing w:before="80" w:after="0"/>
        <w:jc w:val="center"/>
      </w:pPr>
      <w:r>
        <w:rPr>
          <w:rFonts w:ascii="Arial" w:cs="Arial" w:eastAsia="Arial" w:hAnsi="Arial"/>
          <w:b/>
          <w:bCs/>
          <w:color w:val="CC0000"/>
          <w:sz w:val="18"/>
          <w:szCs w:val="18"/>
        </w:rPr>
        <w:t xml:space="preserve">DOCUMENTO CONFIDENCIAL — USO INTERNO</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Fundación Pegasus — Manual de Organización — CONFIDENCIAL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2026-03-16T12:23:05.181Z</dcterms:created>
  <dcterms:modified xsi:type="dcterms:W3CDTF">2026-03-16T12:23:05.182Z</dcterms:modified>
</cp:coreProperties>
</file>

<file path=docProps/custom.xml><?xml version="1.0" encoding="utf-8"?>
<Properties xmlns="http://schemas.openxmlformats.org/officeDocument/2006/custom-properties" xmlns:vt="http://schemas.openxmlformats.org/officeDocument/2006/docPropsVTypes"/>
</file>