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ontserrat" w:cs="Montserrat" w:eastAsia="Montserrat" w:hAnsi="Montserrat"/>
          <w:b/>
          <w:bCs/>
          <w:color w:val="595959"/>
          <w:sz w:val="22"/>
          <w:szCs w:val="22"/>
        </w:rPr>
        <w:t xml:space="preserve">PONTIFICIA UNIVERSIDAD CATÓLICA DEL PERÚ</w:t>
      </w:r>
    </w:p>
    <w:p>
      <w:pPr>
        <w:spacing w:after="60"/>
      </w:pPr>
      <w:r>
        <w:rPr>
          <w:rFonts w:ascii="Montserrat" w:cs="Montserrat" w:eastAsia="Montserrat" w:hAnsi="Montserrat"/>
          <w:color w:val="595959"/>
          <w:sz w:val="22"/>
          <w:szCs w:val="22"/>
        </w:rPr>
        <w:t xml:space="preserve">Facultad de Ciencias e Ingeniería · Ingeniería Informática</w:t>
      </w:r>
    </w:p>
    <w:p>
      <w:pPr>
        <w:spacing w:after="60"/>
      </w:pPr>
      <w:r>
        <w:rPr>
          <w:rFonts w:ascii="Montserrat" w:cs="Montserrat" w:eastAsia="Montserrat" w:hAnsi="Montserrat"/>
          <w:color w:val="595959"/>
          <w:sz w:val="22"/>
          <w:szCs w:val="22"/>
        </w:rPr>
        <w:t xml:space="preserve">Curso: Ética y Responsabilidad Social Universitaria</w:t>
      </w:r>
    </w:p>
    <w:p>
      <w:pPr>
        <w:spacing w:after="1400"/>
      </w:pPr>
    </w:p>
    <w:p>
      <w:pPr>
        <w:spacing w:after="200"/>
      </w:pPr>
      <w:r>
        <w:rPr>
          <w:rFonts w:ascii="Montserrat" w:cs="Montserrat" w:eastAsia="Montserrat" w:hAnsi="Montserrat"/>
          <w:b/>
          <w:bCs/>
          <w:color w:val="1F3864"/>
          <w:sz w:val="44"/>
          <w:szCs w:val="44"/>
        </w:rPr>
        <w:t xml:space="preserve">Declaración de uso de inteligencia artificial</w:t>
      </w:r>
    </w:p>
    <w:p>
      <w:pPr>
        <w:spacing w:after="600"/>
      </w:pPr>
      <w:r>
        <w:rPr>
          <w:rFonts w:ascii="Montserrat" w:cs="Montserrat" w:eastAsia="Montserrat" w:hAnsi="Montserrat"/>
          <w:color w:val="595959"/>
          <w:sz w:val="26"/>
          <w:szCs w:val="26"/>
        </w:rPr>
        <w:t xml:space="preserve">Producto informático Comunidad INF · https://comunidad-inf.vercel.app</w:t>
      </w:r>
    </w:p>
    <w:p>
      <w:pPr>
        <w:pBdr>
          <w:top w:val="single" w:color="1F3864" w:sz="6" w:space="8"/>
        </w:pBdr>
        <w:spacing w:before="200" w:after="200"/>
      </w:pPr>
      <w:r>
        <w:rPr>
          <w:rFonts w:ascii="Montserrat" w:cs="Montserrat" w:eastAsia="Montserrat" w:hAnsi="Montserrat"/>
          <w:b/>
          <w:bCs/>
          <w:color w:val="1F3864"/>
          <w:sz w:val="24"/>
          <w:szCs w:val="24"/>
        </w:rPr>
        <w:t xml:space="preserve">Horario: 0882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rPr>
          <w:tblHeader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Integrante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Mayerli Dina Lopez Carhuapuma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20226323</w:t>
            </w: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Alvaro Fabrizio Ferro Dominguez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20222896</w:t>
            </w: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Bianca Amira Pulido Dionicio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20210910</w:t>
            </w: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Carlos Alberto Monge Orihuela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20200924</w:t>
            </w: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Sebastián O’Brien Pezo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20211004</w:t>
            </w:r>
          </w:p>
        </w:tc>
      </w:tr>
    </w:tbl>
    <w:p>
      <w:pPr>
        <w:spacing w:after="1200"/>
      </w:pPr>
    </w:p>
    <w:p>
      <w:pPr>
        <w:spacing w:after="60"/>
      </w:pPr>
      <w:r>
        <w:rPr>
          <w:rFonts w:ascii="Montserrat" w:cs="Montserrat" w:eastAsia="Montserrat" w:hAnsi="Montserrat"/>
          <w:color w:val="595959"/>
          <w:sz w:val="22"/>
          <w:szCs w:val="22"/>
        </w:rPr>
        <w:t xml:space="preserve">Lima, octubre de 2026</w:t>
      </w:r>
    </w:p>
    <w:p>
      <w:r>
        <w:br w:type="page"/>
      </w:r>
    </w:p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1352"/>
        <w:gridCol w:w="1040"/>
        <w:gridCol w:w="4680"/>
        <w:gridCol w:w="1664"/>
      </w:tblGrid>
      <w:tr>
        <w:trPr>
          <w:tblHeader/>
        </w:trPr>
        <w:tc>
          <w:tcPr>
            <w:tcW w:type="dxa" w:w="62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Ítem</w:t>
            </w:r>
          </w:p>
        </w:tc>
        <w:tc>
          <w:tcPr>
            <w:tcW w:type="dxa" w:w="135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Fecha</w:t>
            </w:r>
          </w:p>
        </w:tc>
        <w:tc>
          <w:tcPr>
            <w:tcW w:type="dxa" w:w="10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66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135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27/10/2026</w:t>
            </w:r>
          </w:p>
        </w:tc>
        <w:tc>
          <w:tcPr>
            <w:tcW w:type="dxa" w:w="10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0.1</w:t>
            </w:r>
          </w:p>
        </w:tc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Borrador generado a partir de IA_LOG.md con asistencia de IA</w:t>
            </w:r>
          </w:p>
        </w:tc>
        <w:tc>
          <w:tcPr>
            <w:tcW w:type="dxa" w:w="166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135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27/10/2026</w:t>
            </w:r>
          </w:p>
        </w:tc>
        <w:tc>
          <w:tcPr>
            <w:tcW w:type="dxa" w:w="10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0.2</w:t>
            </w:r>
          </w:p>
        </w:tc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Revisión técnica, validación de autoría y aprobación final colectiva por el equipo.</w:t>
            </w:r>
          </w:p>
        </w:tc>
        <w:tc>
          <w:tcPr>
            <w:tcW w:type="dxa" w:w="166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135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27/10/2026</w:t>
            </w:r>
          </w:p>
        </w:tc>
        <w:tc>
          <w:tcPr>
            <w:tcW w:type="dxa" w:w="10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1.0</w:t>
            </w:r>
          </w:p>
        </w:tc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Versión completa: hechos registrados, nueva fase de cuentas y reparto aleatorio de revisiones, pruebas y firmas</w:t>
            </w:r>
          </w:p>
        </w:tc>
        <w:tc>
          <w:tcPr>
            <w:tcW w:type="dxa" w:w="166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Equipo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CEBD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Cómo leer este documento.</w:t>
            </w: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 Las secciones 1, 2 y 3.3 describen hechos registrados durante el desarrollo. En 3.1, 3.2, 3.4 y 5, cada tarea tiene un responsable </w:t>
            </w: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asignado por sorteo</w:t>
            </w: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; las celdas "[Por completar]" las llena esa persona con lo que realmente hizo. Nada de lo que está por completar se da por hecho.</w:t>
            </w:r>
          </w:p>
        </w:tc>
      </w:tr>
    </w:tbl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1. Herramientas usadas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Herramienta</w:t>
            </w:r>
          </w:p>
        </w:tc>
        <w:tc>
          <w:tcPr>
            <w:tcW w:type="dxa" w:w="561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Para qué se usó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Claude Code (modelo Claude Opus 5.5, app de escritorio de Claude)</w:t>
            </w:r>
          </w:p>
        </w:tc>
        <w:tc>
          <w:tcPr>
            <w:tcW w:type="dxa" w:w="561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Planificar, escribir el código (frontend, SQL, pruebas, scripts), probar en el navegador integrado y redactar la documentación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Skills de diseño de Claude Code: ui-ux-pro-max, design-taste-frontend, impeccable</w:t>
            </w:r>
          </w:p>
        </w:tc>
        <w:tc>
          <w:tcPr>
            <w:tcW w:type="dxa" w:w="561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Sistema de diseño, accesibilidad (contraste AA), revisión visual automatizada y piso de calidad de la interfaz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React Bits (reactbits.dev), como referencia</w:t>
            </w:r>
          </w:p>
        </w:tc>
        <w:tc>
          <w:tcPr>
            <w:tcW w:type="dxa" w:w="561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Inspiración para CountUp, ClickSpark y PixelCard, reescritos sin dependencias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ChatGPT / Claude Web</w:t>
            </w:r>
          </w:p>
        </w:tc>
        <w:tc>
          <w:tcPr>
            <w:tcW w:type="dxa" w:w="561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Apoyo en la estructuración de la investigación cualitativa inicial para el Informe de Exploración del Problema y síntesis de entrevistas a estudiantes.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Herramientas de diseño gráfico (Canva / Figma)</w:t>
            </w:r>
          </w:p>
        </w:tc>
        <w:tc>
          <w:tcPr>
            <w:tcW w:type="dxa" w:w="561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Adaptación de la paleta institucional de la AAII, diseño de la mascota "Pingüi" y elaboración del afiche promocional.</w:t>
            </w:r>
          </w:p>
        </w:tc>
      </w:tr>
    </w:tbl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2. Para qué se usó en cada fase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Resumen del registro IA_LOG.md, llenado mientras se desarrollaba. La columna del equipo solo recoge acciones que quedaron registradas en la sesión de trabajo; las revisiones se declaran en la sección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0"/>
        <w:gridCol w:w="4187"/>
        <w:gridCol w:w="3203"/>
      </w:tblGrid>
      <w:tr>
        <w:trPr>
          <w:tblHeader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Qué hizo la IA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Qué hizo el equipo (registrado)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0. Plan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Leyó la especificación, propuso el plan por fases, listó 19 ambigüedades con la opción más simple y los pasos de Supabase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Escribió la especificación (CLAUDE.md, docs 01 a 03, prompts) y aprobó el plan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1. Base de datos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Esquema SQL, seguridad por filas, funciones con reglas (cupo, equipos, voto único), datos semilla ficticios, capa de datos y pruebas de la regla de puntos; validó el SQL en un PostgreSQL local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Creó el proyecto en Supabase, entregó la URL y la clave pública y ejecutó las migraciones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2. Vistas públicas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Registro, privacidad, encuesta, actividad con 3 modos de inscripción, bolsa y ranking, con las skills de diseño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Confirmó el contexto de producto (PRODUCT.md) y activó el registro anónimo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3. Panel del organizador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Login, protección de /org, CRUD, gestión de actividad, CSV y script de seguridad (14 ataques bloqueados)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Creó el usuario organizador e inició sesión para las pruebas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4. Ranking, calendario y resúmenes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Comparó el ranking SQL con puntos.ts (coinciden), calendario con Compartir por WhatsApp, resúmenes con foto y autorización obligatoria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Ejecutó la migración de almacenamiento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Prueba del escenario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Recorrió los 6 pasos con datos reales, corrigió 2 detalles y limpió los datos de prueba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Autorizó usar su sesión de organizador y pidió la limpieza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5. Verificación y despliegue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Prueba de seguridad ampliada (26 ataques bloqueados), revisión de 23 vistas a 375 px, vercel.json y diagnóstico de la página en blanco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Creó el repositorio en GitHub, desplegó en Vercel y corrigió las variables de entorno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Identidad visual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Paleta verde, logo, Pingüi en dos variantes y componentes inspirados en React Bits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Entregó el afiche y el logo de la AAII como referencia, el diseño de Pingüi y los nombres del equipo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Cuentas con contraseña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Registro con correo y contraseña, Ingresar, recuperación de contraseña, conversión de registros antiguos conservando su id y función borrar_mi_cuenta; probado con dos dispositivos simulados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Detectó que el registro vivía en un solo navegador, pidió la solución, desactivó "Confirm email" y autorizó cuentas de prueba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6. Documentación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Redactó borradores iniciales para README.md, el documento breve, la guía interna de equipo y la estructura base de esta declaración.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Revisó críticamente todos los textos, corrigió inconsistencias conceptuales, adaptó el informe al marco ético de la PUCP y redactó los apartados de autoría humana.</w:t>
            </w:r>
          </w:p>
        </w:tc>
      </w:tr>
    </w:tbl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3. Qué revisó, cambió o decidió el equipo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Para cada punto se registra quién lo hizo y con qué resultado. Las tareas de revisión y prueba se repartieron 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por sorteo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para que cada integrante quede a cargo de una parte distinta; cada responsable completa su fila con lo que realmente hizo.</w:t>
      </w:r>
    </w:p>
    <w:p>
      <w:pPr>
        <w:pStyle w:val="Heading2"/>
        <w:keepNext/>
        <w:spacing w:before="220" w:after="110"/>
      </w:pPr>
      <w:r>
        <w:rPr>
          <w:rFonts w:ascii="Montserrat" w:cs="Montserrat" w:eastAsia="Montserrat" w:hAnsi="Montserrat"/>
          <w:b/>
          <w:bCs/>
          <w:color w:val="1F3864"/>
          <w:sz w:val="25"/>
          <w:szCs w:val="25"/>
        </w:rPr>
        <w:t xml:space="preserve">3.1 Revisión del código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Cada integrante lee la parte asignada y debe poder explicarla en la defensa (la guía interna del equipo resume cada una).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2808"/>
        <w:gridCol w:w="1872"/>
      </w:tblGrid>
      <w:tr>
        <w:trPr>
          <w:tblHeader/>
        </w:trPr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Responsable (sorteo)</w:t>
            </w:r>
          </w:p>
        </w:tc>
        <w:tc>
          <w:tcPr>
            <w:tcW w:type="dxa" w:w="28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Parte del código</w:t>
            </w:r>
          </w:p>
        </w:tc>
        <w:tc>
          <w:tcPr>
            <w:tcW w:type="dxa" w:w="28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Archivos</w:t>
            </w:r>
          </w:p>
        </w:tc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Lo revisó y puede explicarlo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Carlos Monge</w:t>
            </w:r>
          </w:p>
        </w:tc>
        <w:tc>
          <w:tcPr>
            <w:tcW w:type="dxa" w:w="28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Seguridad y base de datos (RLS, vistas, funciones con reglas)</w:t>
            </w:r>
          </w:p>
        </w:tc>
        <w:tc>
          <w:tcPr>
            <w:tcW w:type="dxa" w:w="28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supabase/migrations/0001 a 0004</w:t>
            </w:r>
          </w:p>
        </w:tc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Alvaro Ferro</w:t>
            </w:r>
          </w:p>
        </w:tc>
        <w:tc>
          <w:tcPr>
            <w:tcW w:type="dxa" w:w="28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Capa de datos y cuentas (registro, ingresar, recuperar)</w:t>
            </w:r>
          </w:p>
        </w:tc>
        <w:tc>
          <w:tcPr>
            <w:tcW w:type="dxa" w:w="28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src/lib/api.ts, src/lib/supabase.ts, Registro.tsx, Ingresar.tsx</w:t>
            </w:r>
          </w:p>
        </w:tc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Sebastián O’Brien</w:t>
            </w:r>
          </w:p>
        </w:tc>
        <w:tc>
          <w:tcPr>
            <w:tcW w:type="dxa" w:w="28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Regla de puntos y pruebas automáticas</w:t>
            </w:r>
          </w:p>
        </w:tc>
        <w:tc>
          <w:tcPr>
            <w:tcW w:type="dxa" w:w="28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src/lib/puntos.ts, tests/</w:t>
            </w:r>
          </w:p>
        </w:tc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Bianca Pulido</w:t>
            </w:r>
          </w:p>
        </w:tc>
        <w:tc>
          <w:tcPr>
            <w:tcW w:type="dxa" w:w="28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Pantallas públicas (encuesta, actividad, bolsa, ranking)</w:t>
            </w:r>
          </w:p>
        </w:tc>
        <w:tc>
          <w:tcPr>
            <w:tcW w:type="dxa" w:w="28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src/pages/</w:t>
            </w:r>
          </w:p>
        </w:tc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Mayerli Lopez</w:t>
            </w:r>
          </w:p>
        </w:tc>
        <w:tc>
          <w:tcPr>
            <w:tcW w:type="dxa" w:w="28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Panel del organizador, CSV y despliegue</w:t>
            </w:r>
          </w:p>
        </w:tc>
        <w:tc>
          <w:tcPr>
            <w:tcW w:type="dxa" w:w="28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src/pages/org/, src/lib/csv.ts, vercel.json</w:t>
            </w:r>
          </w:p>
        </w:tc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</w:tr>
    </w:tbl>
    <w:p>
      <w:pPr>
        <w:pStyle w:val="Heading2"/>
        <w:keepNext/>
        <w:spacing w:before="220" w:after="110"/>
      </w:pPr>
      <w:r>
        <w:rPr>
          <w:rFonts w:ascii="Montserrat" w:cs="Montserrat" w:eastAsia="Montserrat" w:hAnsi="Montserrat"/>
          <w:b/>
          <w:bCs/>
          <w:color w:val="1F3864"/>
          <w:sz w:val="25"/>
          <w:szCs w:val="25"/>
        </w:rPr>
        <w:t xml:space="preserve">3.2 Pruebas propias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978"/>
        <w:gridCol w:w="1638"/>
        <w:gridCol w:w="1872"/>
      </w:tblGrid>
      <w:tr>
        <w:trPr>
          <w:tblHeader/>
        </w:trPr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Responsable (sorteo)</w:t>
            </w:r>
          </w:p>
        </w:tc>
        <w:tc>
          <w:tcPr>
            <w:tcW w:type="dxa" w:w="397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Prueba asignada</w:t>
            </w:r>
          </w:p>
        </w:tc>
        <w:tc>
          <w:tcPr>
            <w:tcW w:type="dxa" w:w="163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Mayerli Lopez</w:t>
            </w:r>
          </w:p>
        </w:tc>
        <w:tc>
          <w:tcPr>
            <w:tcW w:type="dxa" w:w="397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Escenario completo como participante: crear cuenta, votar, "Busco equipo" y ver el ranking</w:t>
            </w:r>
          </w:p>
        </w:tc>
        <w:tc>
          <w:tcPr>
            <w:tcW w:type="dxa" w:w="163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Sebastián O’Brien</w:t>
            </w:r>
          </w:p>
        </w:tc>
        <w:tc>
          <w:tcPr>
            <w:tcW w:type="dxa" w:w="397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Escenario como organizador: asignar desde la bolsa, asistencia, puestos y finalizar</w:t>
            </w:r>
          </w:p>
        </w:tc>
        <w:tc>
          <w:tcPr>
            <w:tcW w:type="dxa" w:w="163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Alvaro Ferro</w:t>
            </w:r>
          </w:p>
        </w:tc>
        <w:tc>
          <w:tcPr>
            <w:tcW w:type="dxa" w:w="397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Que una persona ajena al grupo pruebe el enlace sin ayuda y anotar sus comentarios</w:t>
            </w:r>
          </w:p>
        </w:tc>
        <w:tc>
          <w:tcPr>
            <w:tcW w:type="dxa" w:w="163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Bianca Pulido</w:t>
            </w:r>
          </w:p>
        </w:tc>
        <w:tc>
          <w:tcPr>
            <w:tcW w:type="dxa" w:w="397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Ingresar con la misma cuenta en un segundo dispositivo y probar "¿Olvidaste tu contraseña?"</w:t>
            </w:r>
          </w:p>
        </w:tc>
        <w:tc>
          <w:tcPr>
            <w:tcW w:type="dxa" w:w="163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Carlos Monge</w:t>
            </w:r>
          </w:p>
        </w:tc>
        <w:tc>
          <w:tcPr>
            <w:tcW w:type="dxa" w:w="397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Privacidad: comprobar que no se ven correos en vistas públicas y usar "Borrar mis datos"</w:t>
            </w:r>
          </w:p>
        </w:tc>
        <w:tc>
          <w:tcPr>
            <w:tcW w:type="dxa" w:w="163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  <w:tc>
          <w:tcPr>
            <w:tcW w:type="dxa" w:w="187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</w:tr>
    </w:tbl>
    <w:p>
      <w:pPr>
        <w:pStyle w:val="Heading2"/>
        <w:keepNext/>
        <w:spacing w:before="220" w:after="110"/>
      </w:pPr>
      <w:r>
        <w:rPr>
          <w:rFonts w:ascii="Montserrat" w:cs="Montserrat" w:eastAsia="Montserrat" w:hAnsi="Montserrat"/>
          <w:b/>
          <w:bCs/>
          <w:color w:val="1F3864"/>
          <w:sz w:val="25"/>
          <w:szCs w:val="25"/>
        </w:rPr>
        <w:t xml:space="preserve">3.3 Decisiones humanas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Decisiones que tomó el equipo y que la IA aplicó, tal como quedaron registradas durante el desarrollo.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Tema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Decisión del equipo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Problema y alcance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Definidos en la conversación grupal y en el informe de exploración; el equipo escribió la especificación (prioridades P0/P1/P2, criterios de aceptación y escenario de prueba). La propuesta de Sebastián O’Brien ("Portal unificado de eventos") aportó el problema de la dispersión de avisos y las ideas a futuro.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Datos que se piden y cuáles no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Solo nombre, alias, correo, especialidad y código PUCP opcional; no pedir ni guardar el género (los equipos mixtos se declaran); correos nunca en vistas públicas; datos de demostración ficticios.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Integración antes que recaudación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Sin pagos ni inscripciones cobradas; los puntos premian asistir, no solo ganar.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Plan y reglas ambiguas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Aprobó el plan con las 19 decisiones propuestas (cupo por personas, empates, actividades finalizadas, etc.).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Identidad visual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Cambiar a la paleta verde de la AAII a partir de su afiche y logo, mantener el nombre "Comunidad INF", adoptar a la mascota con el diseño de referencia del equipo y llamarla "Pingüi".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Cuentas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Que los participantes tengan cuenta con correo y contraseña para entrar desde cualquier dispositivo, sin afectar los datos ya creados; desactivar "Confirm email".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Datos de la demo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Devolver el Torneo post-parciales a "abierta" después de la prueba y limpiar los datos de prueba.</w:t>
            </w:r>
          </w:p>
        </w:tc>
      </w:tr>
      <w:tr>
        <w:trPr>
          <w:cantSplit/>
        </w:trPr>
        <w:tc>
          <w:tcPr>
            <w:tcW w:type="dxa" w:w="267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Entregables</w:t>
            </w:r>
          </w:p>
        </w:tc>
        <w:tc>
          <w:tcPr>
            <w:tcW w:type="dxa" w:w="668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Documento breve y declaración en Word con el estilo del informe de exploración.</w:t>
            </w:r>
          </w:p>
        </w:tc>
      </w:tr>
    </w:tbl>
    <w:p>
      <w:pPr>
        <w:pStyle w:val="Heading2"/>
        <w:keepNext/>
        <w:spacing w:before="220" w:after="110"/>
      </w:pPr>
      <w:r>
        <w:rPr>
          <w:rFonts w:ascii="Montserrat" w:cs="Montserrat" w:eastAsia="Montserrat" w:hAnsi="Montserrat"/>
          <w:b/>
          <w:bCs/>
          <w:color w:val="1F3864"/>
          <w:sz w:val="25"/>
          <w:szCs w:val="25"/>
        </w:rPr>
        <w:t xml:space="preserve">3.4 Cambios hechos a mano y revisión de textos</w:t>
      </w:r>
    </w:p>
    <w:p>
      <w:pPr>
        <w:spacing w:after="140" w:line="276"/>
        <w:jc w:val="left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Cambios a mano registrados:</w:t>
      </w: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 el equipo editó el borrador de esta declaración: completó la portada (horario y códigos), agregó la versión 0.2 del historial y las herramientas ChatGPT / Claude Web y Canva / Figma, y reescribió la fila de documentación de la sección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0"/>
        <w:gridCol w:w="3694"/>
        <w:gridCol w:w="3696"/>
      </w:tblGrid>
      <w:tr>
        <w:trPr>
          <w:tblHeader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Responsable (sorteo)</w:t>
            </w:r>
          </w:p>
        </w:tc>
        <w:tc>
          <w:tcPr>
            <w:tcW w:type="dxa" w:w="369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Texto que revisa</w:t>
            </w:r>
          </w:p>
        </w:tc>
        <w:tc>
          <w:tcPr>
            <w:tcW w:type="dxa" w:w="369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Cambios o comentarios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Sebastián O’Brien</w:t>
            </w:r>
          </w:p>
        </w:tc>
        <w:tc>
          <w:tcPr>
            <w:tcW w:type="dxa" w:w="369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Textos de la interfaz (botones, mensajes de error, avisos)</w:t>
            </w:r>
          </w:p>
        </w:tc>
        <w:tc>
          <w:tcPr>
            <w:tcW w:type="dxa" w:w="369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Alvaro Ferro</w:t>
            </w:r>
          </w:p>
        </w:tc>
        <w:tc>
          <w:tcPr>
            <w:tcW w:type="dxa" w:w="369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Página de privacidad y consentimiento (Ley N.° 29733)</w:t>
            </w:r>
          </w:p>
        </w:tc>
        <w:tc>
          <w:tcPr>
            <w:tcW w:type="dxa" w:w="369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Mayerli Lopez</w:t>
            </w:r>
          </w:p>
        </w:tc>
        <w:tc>
          <w:tcPr>
            <w:tcW w:type="dxa" w:w="369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Documento breve del producto</w:t>
            </w:r>
          </w:p>
        </w:tc>
        <w:tc>
          <w:tcPr>
            <w:tcW w:type="dxa" w:w="369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Bianca Pulido</w:t>
            </w:r>
          </w:p>
        </w:tc>
        <w:tc>
          <w:tcPr>
            <w:tcW w:type="dxa" w:w="369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README y guía interna del equipo</w:t>
            </w:r>
          </w:p>
        </w:tc>
        <w:tc>
          <w:tcPr>
            <w:tcW w:type="dxa" w:w="369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Carlos Monge</w:t>
            </w:r>
          </w:p>
        </w:tc>
        <w:tc>
          <w:tcPr>
            <w:tcW w:type="dxa" w:w="369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Esta declaración de uso de IA</w:t>
            </w:r>
          </w:p>
        </w:tc>
        <w:tc>
          <w:tcPr>
            <w:tcW w:type="dxa" w:w="369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[Por completar]</w:t>
            </w:r>
          </w:p>
        </w:tc>
      </w:tr>
    </w:tbl>
    <w:p>
      <w:pPr>
        <w:spacing w:after="80"/>
      </w:pP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La columna "Qué revisó o cambió el equipo" del archivo IA_LOG.md también debe quedar completa antes de la entrega.</w:t>
      </w:r>
    </w:p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4. Límites y responsabilidad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La IA escribió la mayor parte del código. El equipo es responsable del producto y debe poder explicar y defender cada parte, como pide el curso.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Todo lo que la IA afirma haber verificado (pruebas, revisión a 375 px, ataques bloqueados) está registrado en IA_LOG.md con su resultado; lo que no se pudo verificar también está anotado.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Los datos de la demo son ficticios. No se usaron datos personales reales para trabajar con la IA; las cuentas de prueba usaron correos del propio equipo con su autorización.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No se usó la IA para publicar imágenes de personas reales.</w:t>
      </w:r>
    </w:p>
    <w:p>
      <w:r>
        <w:br w:type="page"/>
      </w:r>
    </w:p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5. Aprobación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Con su firma, cada integrante declara que esta descripción del uso de IA es verdadera y que revisó la parte que le fue asignada.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521"/>
        <w:gridCol w:w="2340"/>
        <w:gridCol w:w="1755"/>
      </w:tblGrid>
      <w:tr>
        <w:trPr>
          <w:tblHeader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Integrante</w:t>
            </w:r>
          </w:p>
        </w:tc>
        <w:tc>
          <w:tcPr>
            <w:tcW w:type="dxa" w:w="152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Firma</w:t>
            </w:r>
          </w:p>
        </w:tc>
        <w:tc>
          <w:tcPr>
            <w:tcW w:type="dxa" w:w="175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Mayerli Dina Lopez Carhuapuma</w:t>
            </w:r>
          </w:p>
        </w:tc>
        <w:tc>
          <w:tcPr>
            <w:tcW w:type="dxa" w:w="152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20226323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  <w:p>
            <w:pPr>
              <w:spacing w:after="0" w:line="252"/>
            </w:pPr>
          </w:p>
          <w:p>
            <w:pPr>
              <w:spacing w:after="0" w:line="252"/>
            </w:pPr>
          </w:p>
        </w:tc>
        <w:tc>
          <w:tcPr>
            <w:tcW w:type="dxa" w:w="175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Alvaro Fabrizio Ferro Dominguez</w:t>
            </w:r>
          </w:p>
        </w:tc>
        <w:tc>
          <w:tcPr>
            <w:tcW w:type="dxa" w:w="152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20222896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  <w:p>
            <w:pPr>
              <w:spacing w:after="0" w:line="252"/>
            </w:pPr>
          </w:p>
          <w:p>
            <w:pPr>
              <w:spacing w:after="0" w:line="252"/>
            </w:pPr>
          </w:p>
        </w:tc>
        <w:tc>
          <w:tcPr>
            <w:tcW w:type="dxa" w:w="175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Bianca Amira Pulido Dionicio</w:t>
            </w:r>
          </w:p>
        </w:tc>
        <w:tc>
          <w:tcPr>
            <w:tcW w:type="dxa" w:w="152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20210910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  <w:p>
            <w:pPr>
              <w:spacing w:after="0" w:line="252"/>
            </w:pPr>
          </w:p>
          <w:p>
            <w:pPr>
              <w:spacing w:after="0" w:line="252"/>
            </w:pPr>
          </w:p>
        </w:tc>
        <w:tc>
          <w:tcPr>
            <w:tcW w:type="dxa" w:w="175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Carlos Alberto Monge Orihuela</w:t>
            </w:r>
          </w:p>
        </w:tc>
        <w:tc>
          <w:tcPr>
            <w:tcW w:type="dxa" w:w="152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20200924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  <w:p>
            <w:pPr>
              <w:spacing w:after="0" w:line="252"/>
            </w:pPr>
          </w:p>
          <w:p>
            <w:pPr>
              <w:spacing w:after="0" w:line="252"/>
            </w:pPr>
          </w:p>
        </w:tc>
        <w:tc>
          <w:tcPr>
            <w:tcW w:type="dxa" w:w="175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Sebastián O’Brien Pezo</w:t>
            </w:r>
          </w:p>
        </w:tc>
        <w:tc>
          <w:tcPr>
            <w:tcW w:type="dxa" w:w="1521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20211004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  <w:p>
            <w:pPr>
              <w:spacing w:after="0" w:line="252"/>
            </w:pPr>
          </w:p>
          <w:p>
            <w:pPr>
              <w:spacing w:after="0" w:line="252"/>
            </w:pPr>
          </w:p>
        </w:tc>
        <w:tc>
          <w:tcPr>
            <w:tcW w:type="dxa" w:w="175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080" w:right="1273" w:bottom="1080" w:left="1273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595959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ontserrat" w:cs="Montserrat" w:eastAsia="Montserrat" w:hAnsi="Montserrat"/>
        <w:color w:val="595959"/>
        <w:sz w:val="22"/>
        <w:szCs w:val="22"/>
      </w:rPr>
      <w:t xml:space="preserve">Declaración de uso de IA · Ética y RSU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ontserrat" w:cs="Montserrat" w:eastAsia="Montserrat" w:hAnsi="Montserra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ontserrat" w:cs="Montserrat" w:eastAsia="Montserrat" w:hAnsi="Montserrat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Comunidad INF</dc:creator>
  <cp:lastModifiedBy>Un-named</cp:lastModifiedBy>
  <cp:revision>1</cp:revision>
  <dcterms:created xsi:type="dcterms:W3CDTF">2026-10-27T23:11:52.535Z</dcterms:created>
  <dcterms:modified xsi:type="dcterms:W3CDTF">2026-10-27T23:11:52.536Z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