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left"/>
      </w:pPr>
      <w:r>
        <w:rPr>
          <w:rFonts w:ascii="Montserrat" w:cs="Montserrat" w:eastAsia="Montserrat" w:hAnsi="Montserrat"/>
          <w:b/>
          <w:bCs/>
          <w:color w:val="595959"/>
          <w:sz w:val="22"/>
          <w:szCs w:val="22"/>
        </w:rPr>
        <w:t xml:space="preserve">PONTIFICIA UNIVERSIDAD CATÓLICA DEL PERÚ</w:t>
      </w:r>
    </w:p>
    <w:p>
      <w:pPr>
        <w:spacing w:after="60"/>
      </w:pPr>
      <w:r>
        <w:rPr>
          <w:rFonts w:ascii="Montserrat" w:cs="Montserrat" w:eastAsia="Montserrat" w:hAnsi="Montserrat"/>
          <w:color w:val="595959"/>
          <w:sz w:val="22"/>
          <w:szCs w:val="22"/>
        </w:rPr>
        <w:t xml:space="preserve">Facultad de Ciencias e Ingeniería · Ingeniería Informática</w:t>
      </w:r>
    </w:p>
    <w:p>
      <w:pPr>
        <w:spacing w:after="900"/>
      </w:pPr>
      <w:r>
        <w:rPr>
          <w:rFonts w:ascii="Montserrat" w:cs="Montserrat" w:eastAsia="Montserrat" w:hAnsi="Montserrat"/>
          <w:color w:val="595959"/>
          <w:sz w:val="22"/>
          <w:szCs w:val="22"/>
        </w:rPr>
        <w:t xml:space="preserve">Curso: Ética y Responsabilidad Social Universitaria</w:t>
      </w:r>
    </w:p>
    <w:p>
      <w:pPr>
        <w:spacing w:after="120"/>
      </w:pPr>
      <w:r>
        <w:rPr>
          <w:rFonts w:ascii="Montserrat" w:cs="Montserrat" w:eastAsia="Montserrat" w:hAnsi="Montserrat"/>
          <w:b/>
          <w:bCs/>
          <w:color w:val="1F3864"/>
          <w:sz w:val="44"/>
          <w:szCs w:val="44"/>
        </w:rPr>
        <w:t xml:space="preserve">Informe de exploración del problema</w:t>
      </w:r>
    </w:p>
    <w:p>
      <w:pPr>
        <w:spacing w:after="500"/>
      </w:pPr>
      <w:r>
        <w:rPr>
          <w:rFonts w:ascii="Montserrat" w:cs="Montserrat" w:eastAsia="Montserrat" w:hAnsi="Montserrat"/>
          <w:color w:val="595959"/>
          <w:sz w:val="26"/>
          <w:szCs w:val="26"/>
        </w:rPr>
        <w:t xml:space="preserve">Laboratorio grupal: producto informático para la comunidad universitaria</w:t>
      </w:r>
    </w:p>
    <w:p>
      <w:pPr>
        <w:pBdr>
          <w:top w:val="single" w:color="1F3864" w:sz="6" w:space="8"/>
        </w:pBdr>
        <w:spacing w:after="160"/>
      </w:pPr>
      <w:r>
        <w:rPr>
          <w:rFonts w:ascii="Montserrat" w:cs="Montserrat" w:eastAsia="Montserrat" w:hAnsi="Montserrat"/>
          <w:b/>
          <w:bCs/>
          <w:color w:val="1F3864"/>
          <w:sz w:val="24"/>
          <w:szCs w:val="24"/>
        </w:rPr>
        <w:t xml:space="preserve">Grupo N.° ___  ·  Horario ______</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6560"/>
        <w:gridCol w:w="2800"/>
      </w:tblGrid>
      <w:tr>
        <w:trPr>
          <w:cantSplit/>
          <w:tblHeader/>
        </w:trPr>
        <w:tc>
          <w:tcPr>
            <w:tcW w:type="dxa" w:w="65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Integrante</w:t>
            </w:r>
          </w:p>
        </w:tc>
        <w:tc>
          <w:tcPr>
            <w:tcW w:type="dxa" w:w="28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Código</w:t>
            </w:r>
          </w:p>
        </w:tc>
      </w:tr>
      <w:tr>
        <w:trPr>
          <w:cantSplit/>
        </w:trPr>
        <w:tc>
          <w:tcPr>
            <w:tcW w:type="dxa" w:w="656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
            </w:r>
          </w:p>
        </w:tc>
        <w:tc>
          <w:tcPr>
            <w:tcW w:type="dxa" w:w="28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r>
        <w:trPr>
          <w:cantSplit/>
        </w:trPr>
        <w:tc>
          <w:tcPr>
            <w:tcW w:type="dxa" w:w="656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
            </w:r>
          </w:p>
        </w:tc>
        <w:tc>
          <w:tcPr>
            <w:tcW w:type="dxa" w:w="28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r>
        <w:trPr>
          <w:cantSplit/>
        </w:trPr>
        <w:tc>
          <w:tcPr>
            <w:tcW w:type="dxa" w:w="656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
            </w:r>
          </w:p>
        </w:tc>
        <w:tc>
          <w:tcPr>
            <w:tcW w:type="dxa" w:w="28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r>
        <w:trPr>
          <w:cantSplit/>
        </w:trPr>
        <w:tc>
          <w:tcPr>
            <w:tcW w:type="dxa" w:w="656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
            </w:r>
          </w:p>
        </w:tc>
        <w:tc>
          <w:tcPr>
            <w:tcW w:type="dxa" w:w="28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r>
        <w:trPr>
          <w:cantSplit/>
        </w:trPr>
        <w:tc>
          <w:tcPr>
            <w:tcW w:type="dxa" w:w="656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
            </w:r>
          </w:p>
        </w:tc>
        <w:tc>
          <w:tcPr>
            <w:tcW w:type="dxa" w:w="28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bl>
    <w:p>
      <w:pPr>
        <w:spacing w:after="0" w:before="700"/>
      </w:pPr>
      <w:r>
        <w:rPr>
          <w:rFonts w:ascii="Montserrat" w:cs="Montserrat" w:eastAsia="Montserrat" w:hAnsi="Montserrat"/>
          <w:color w:val="595959"/>
          <w:sz w:val="22"/>
          <w:szCs w:val="22"/>
        </w:rPr>
        <w:t xml:space="preserve">Lima, octubre de 2026</w:t>
      </w:r>
    </w:p>
    <w:p>
      <w:r>
        <w:br w:type="page"/>
      </w:r>
    </w:p>
    <w:p>
      <w:pPr>
        <w:keepNext/>
        <w:pBdr>
          <w:bottom w:val="single" w:color="1F3864" w:sz="6" w:space="4"/>
        </w:pBdr>
        <w:spacing w:after="160" w:before="320"/>
      </w:pPr>
      <w:r>
        <w:rPr>
          <w:rFonts w:ascii="Montserrat" w:cs="Montserrat" w:eastAsia="Montserrat" w:hAnsi="Montserrat"/>
          <w:b/>
          <w:bCs/>
          <w:color w:val="1F3864"/>
          <w:sz w:val="30"/>
          <w:szCs w:val="30"/>
        </w:rPr>
        <w:t xml:space="preserve">Historial de revisiones</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900"/>
        <w:gridCol w:w="1500"/>
        <w:gridCol w:w="1250"/>
        <w:gridCol w:w="3710"/>
        <w:gridCol w:w="2000"/>
      </w:tblGrid>
      <w:tr>
        <w:trPr>
          <w:cantSplit/>
          <w:tblHeader/>
        </w:trPr>
        <w:tc>
          <w:tcPr>
            <w:tcW w:type="dxa" w:w="9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Ítem</w:t>
            </w:r>
          </w:p>
        </w:tc>
        <w:tc>
          <w:tcPr>
            <w:tcW w:type="dxa" w:w="15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Fecha</w:t>
            </w:r>
          </w:p>
        </w:tc>
        <w:tc>
          <w:tcPr>
            <w:tcW w:type="dxa" w:w="125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Versión</w:t>
            </w:r>
          </w:p>
        </w:tc>
        <w:tc>
          <w:tcPr>
            <w:tcW w:type="dxa" w:w="371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Descripción</w:t>
            </w:r>
          </w:p>
        </w:tc>
        <w:tc>
          <w:tcPr>
            <w:tcW w:type="dxa" w:w="20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Responsable</w:t>
            </w:r>
          </w:p>
        </w:tc>
      </w:tr>
      <w:tr>
        <w:trPr>
          <w:cantSplit/>
        </w:trPr>
        <w:tc>
          <w:tcPr>
            <w:tcW w:type="dxa" w:w="9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1</w:t>
            </w:r>
          </w:p>
        </w:tc>
        <w:tc>
          <w:tcPr>
            <w:tcW w:type="dxa" w:w="15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26/10/2026</w:t>
            </w:r>
          </w:p>
        </w:tc>
        <w:tc>
          <w:tcPr>
            <w:tcW w:type="dxa" w:w="12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1.0</w:t>
            </w:r>
          </w:p>
        </w:tc>
        <w:tc>
          <w:tcPr>
            <w:tcW w:type="dxa" w:w="371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Versión inicial a partir de la conversación grupal de la sesión previa al laboratorio</w:t>
            </w:r>
          </w:p>
        </w:tc>
        <w:tc>
          <w:tcPr>
            <w:tcW w:type="dxa" w:w="20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Equipo</w:t>
            </w:r>
          </w:p>
        </w:tc>
      </w:tr>
      <w:tr>
        <w:trPr>
          <w:cantSplit/>
        </w:trPr>
        <w:tc>
          <w:tcPr>
            <w:tcW w:type="dxa" w:w="9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2</w:t>
            </w:r>
          </w:p>
        </w:tc>
        <w:tc>
          <w:tcPr>
            <w:tcW w:type="dxa" w:w="15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12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371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20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r>
        <w:trPr>
          <w:cantSplit/>
        </w:trPr>
        <w:tc>
          <w:tcPr>
            <w:tcW w:type="dxa" w:w="9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3</w:t>
            </w:r>
          </w:p>
        </w:tc>
        <w:tc>
          <w:tcPr>
            <w:tcW w:type="dxa" w:w="15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12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371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c>
          <w:tcPr>
            <w:tcW w:type="dxa" w:w="20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
            </w:r>
          </w:p>
        </w:tc>
      </w:tr>
    </w:tbl>
    <w:p>
      <w:pPr>
        <w:keepNext/>
        <w:pBdr>
          <w:bottom w:val="single" w:color="1F3864" w:sz="6" w:space="4"/>
        </w:pBdr>
        <w:spacing w:after="160" w:before="320"/>
      </w:pPr>
      <w:r>
        <w:rPr>
          <w:rFonts w:ascii="Montserrat" w:cs="Montserrat" w:eastAsia="Montserrat" w:hAnsi="Montserrat"/>
          <w:b/>
          <w:bCs/>
          <w:color w:val="1F3864"/>
          <w:sz w:val="30"/>
          <w:szCs w:val="30"/>
        </w:rPr>
        <w:t xml:space="preserve">1. Propósito del informe</w:t>
      </w:r>
    </w:p>
    <w:p>
      <w:pPr>
        <w:spacing w:after="140" w:before="0" w:line="276"/>
        <w:jc w:val="both"/>
      </w:pPr>
      <w:r>
        <w:rPr>
          <w:rFonts w:ascii="Montserrat" w:cs="Montserrat" w:eastAsia="Montserrat" w:hAnsi="Montserrat"/>
          <w:color w:val="1A1A1A"/>
          <w:sz w:val="22"/>
          <w:szCs w:val="22"/>
        </w:rPr>
        <w:t xml:space="preserve">El laboratorio pide desarrollar un producto informático que resuelva un problema real de la universidad o de la especialidad, y que otra persona pueda usar y probar. Este informe documenta la primera etapa del trabajo: la conversación en la que el grupo compartió experiencias, identificó problemas concretos y eligió uno.</w:t>
      </w:r>
    </w:p>
    <w:p>
      <w:pPr>
        <w:spacing w:after="140" w:before="0" w:line="276"/>
        <w:jc w:val="both"/>
      </w:pPr>
      <w:r>
        <w:rPr>
          <w:rFonts w:ascii="Montserrat" w:cs="Montserrat" w:eastAsia="Montserrat" w:hAnsi="Montserrat"/>
          <w:color w:val="1A1A1A"/>
          <w:sz w:val="22"/>
          <w:szCs w:val="22"/>
        </w:rPr>
        <w:t xml:space="preserve">Las decisiones que se toman aquí (qué problema, para quién y con qué alcance) son la base del producto, del documento breve del producto y de la declaración de uso de inteligencia artificial que se entregarán después.</w:t>
      </w:r>
    </w:p>
    <w:p>
      <w:pPr>
        <w:keepNext/>
        <w:pBdr>
          <w:bottom w:val="single" w:color="1F3864" w:sz="6" w:space="4"/>
        </w:pBdr>
        <w:spacing w:after="160" w:before="320"/>
      </w:pPr>
      <w:r>
        <w:rPr>
          <w:rFonts w:ascii="Montserrat" w:cs="Montserrat" w:eastAsia="Montserrat" w:hAnsi="Montserrat"/>
          <w:b/>
          <w:bCs/>
          <w:color w:val="1F3864"/>
          <w:sz w:val="30"/>
          <w:szCs w:val="30"/>
        </w:rPr>
        <w:t xml:space="preserve">2. Cómo se hizo la exploración</w:t>
      </w:r>
    </w:p>
    <w:p>
      <w:pPr>
        <w:spacing w:after="140" w:before="0" w:line="276"/>
        <w:jc w:val="both"/>
      </w:pPr>
      <w:r>
        <w:rPr>
          <w:rFonts w:ascii="Montserrat" w:cs="Montserrat" w:eastAsia="Montserrat" w:hAnsi="Montserrat"/>
          <w:color w:val="1A1A1A"/>
          <w:sz w:val="22"/>
          <w:szCs w:val="22"/>
        </w:rPr>
        <w:t xml:space="preserve">La exploración se hizo en clase, en grupos de cinco, con la consigna de la docente: contarse historias reales, evitar problemas genéricos y buscar soluciones que no dependan de comprar infraestructura. Se trabajó con tres insumos:</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Los casos que la docente presentó al inicio de la sesión como ejemplos de problemas del campus.</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La conversación del grupo, en la que participaron integrantes que han organizado actividades de la especialidad.</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Las observaciones de la docente al grupo mientras conversaba.</w:t>
      </w:r>
    </w:p>
    <w:p>
      <w:pPr>
        <w:spacing w:after="140" w:before="80" w:line="276"/>
        <w:jc w:val="both"/>
      </w:pPr>
      <w:r>
        <w:rPr>
          <w:rFonts w:ascii="Montserrat" w:cs="Montserrat" w:eastAsia="Montserrat" w:hAnsi="Montserrat"/>
          <w:color w:val="1A1A1A"/>
          <w:sz w:val="22"/>
          <w:szCs w:val="22"/>
        </w:rPr>
        <w:t xml:space="preserve">Para pasar de la lista de problemas a uno solo se usaron cuatro filtros: que el problema sea concreto y verificable, que afecte a un grupo identificable, que una solución de software lo ataque sin esperar una inversión de la universidad y que el producto pueda probarlo alguien ajeno al grupo durante el laboratorio.</w:t>
      </w:r>
    </w:p>
    <w:p>
      <w:pPr>
        <w:keepNext/>
        <w:pBdr>
          <w:bottom w:val="single" w:color="1F3864" w:sz="6" w:space="4"/>
        </w:pBdr>
        <w:spacing w:after="160" w:before="320"/>
      </w:pPr>
      <w:r>
        <w:rPr>
          <w:rFonts w:ascii="Montserrat" w:cs="Montserrat" w:eastAsia="Montserrat" w:hAnsi="Montserrat"/>
          <w:b/>
          <w:bCs/>
          <w:color w:val="1F3864"/>
          <w:sz w:val="30"/>
          <w:szCs w:val="30"/>
        </w:rPr>
        <w:t xml:space="preserve">3. Problemas identificados en la sesión</w:t>
      </w:r>
    </w:p>
    <w:p>
      <w:pPr>
        <w:keepNext/>
        <w:spacing w:after="140" w:before="0" w:line="276"/>
        <w:jc w:val="both"/>
      </w:pPr>
      <w:r>
        <w:rPr>
          <w:rFonts w:ascii="Montserrat" w:cs="Montserrat" w:eastAsia="Montserrat" w:hAnsi="Montserrat"/>
          <w:color w:val="1A1A1A"/>
          <w:sz w:val="22"/>
          <w:szCs w:val="22"/>
        </w:rPr>
        <w:t xml:space="preserve">La tabla resume lo que surgió en la sesión, tanto de la exposición de la docente como de la conversación de los grupos. La última columna indica cuánto del problema puede resolver un producto de software hecho por estudiantes.</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2100"/>
        <w:gridCol w:w="3460"/>
        <w:gridCol w:w="1650"/>
        <w:gridCol w:w="2150"/>
      </w:tblGrid>
      <w:tr>
        <w:trPr>
          <w:cantSplit/>
          <w:tblHeader/>
        </w:trPr>
        <w:tc>
          <w:tcPr>
            <w:tcW w:type="dxa" w:w="21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Problema</w:t>
            </w:r>
          </w:p>
        </w:tc>
        <w:tc>
          <w:tcPr>
            <w:tcW w:type="dxa" w:w="34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Qué se observó</w:t>
            </w:r>
          </w:p>
        </w:tc>
        <w:tc>
          <w:tcPr>
            <w:tcW w:type="dxa" w:w="165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A quién afecta</w:t>
            </w:r>
          </w:p>
        </w:tc>
        <w:tc>
          <w:tcPr>
            <w:tcW w:type="dxa" w:w="215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Alcance del software</w:t>
            </w:r>
          </w:p>
        </w:tc>
      </w:tr>
      <w:tr>
        <w:trPr>
          <w:cantSplit/>
        </w:trPr>
        <w:tc>
          <w:tcPr>
            <w:tcW w:type="dxa" w:w="21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Autos eléctricos cargando en tomacorrientes del sótano</w:t>
            </w:r>
          </w:p>
        </w:tc>
        <w:tc>
          <w:tcPr>
            <w:tcW w:type="dxa" w:w="34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Hasta dos autos en un mismo tomacorriente, sin supervisión y con el extintor encima. Sobre el sótano está la cafetería, que usa gas. La docente estimó S/ 350 al mes por auto y vio al menos cuatro. La zona de carga oficial está cerrada y sus letreros se movieron junto a las columnas. Lo reportó a vigilancia hace tres semanas sin respuesta.</w:t>
            </w:r>
          </w:p>
        </w:tc>
        <w:tc>
          <w:tcPr>
            <w:tcW w:type="dxa" w:w="16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Usuarios del pabellón y la universidad</w:t>
            </w:r>
          </w:p>
        </w:tc>
        <w:tc>
          <w:tcPr>
            <w:tcW w:type="dxa" w:w="215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 sirve para reportar y dar seguimiento, pero la solución es administrativa</w:t>
            </w:r>
          </w:p>
        </w:tc>
      </w:tr>
      <w:tr>
        <w:trPr>
          <w:cantSplit/>
        </w:trPr>
        <w:tc>
          <w:tcPr>
            <w:tcW w:type="dxa" w:w="21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Ventas en el campus sin comprobante</w:t>
            </w:r>
          </w:p>
        </w:tc>
        <w:tc>
          <w:tcPr>
            <w:tcW w:type="dxa" w:w="34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Cobro con Plin a una cuenta personal y sin boleta inmediata. El cuaderno para registrar datos estaba vacío. Sin comprobante no hay constancia de la compra si alguien se intoxica.</w:t>
            </w:r>
          </w:p>
        </w:tc>
        <w:tc>
          <w:tcPr>
            <w:tcW w:type="dxa" w:w="16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Estudiantes, docentes y universidad</w:t>
            </w:r>
          </w:p>
        </w:tc>
        <w:tc>
          <w:tcPr>
            <w:tcW w:type="dxa" w:w="215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 emitir comprobantes depende del vendedor y de SUNAT</w:t>
            </w:r>
          </w:p>
        </w:tc>
      </w:tr>
      <w:tr>
        <w:trPr>
          <w:cantSplit/>
        </w:trPr>
        <w:tc>
          <w:tcPr>
            <w:tcW w:type="dxa" w:w="21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Aulas sin tomacorrientes para cursos que usan laptop</w:t>
            </w:r>
          </w:p>
        </w:tc>
        <w:tc>
          <w:tcPr>
            <w:tcW w:type="dxa" w:w="34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Cursos como Programación o Algoritmos se dictan en aulas donde no hay dónde cargar. Quien programa las aulas no sabe qué cursos usan laptop, y las baterías de muchas laptops ya no duran una clase.</w:t>
            </w:r>
          </w:p>
        </w:tc>
        <w:tc>
          <w:tcPr>
            <w:tcW w:type="dxa" w:w="16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Estudiantes de cursos con laptop</w:t>
            </w:r>
          </w:p>
        </w:tc>
        <w:tc>
          <w:tcPr>
            <w:tcW w:type="dxa" w:w="215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 es un problema de información sobre necesidades</w:t>
            </w:r>
          </w:p>
        </w:tc>
      </w:tr>
      <w:tr>
        <w:trPr>
          <w:cantSplit/>
        </w:trPr>
        <w:tc>
          <w:tcPr>
            <w:tcW w:type="dxa" w:w="21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Bache en la salida de la puerta Urubamba</w:t>
            </w:r>
          </w:p>
        </w:tc>
        <w:tc>
          <w:tcPr>
            <w:tcW w:type="dxa" w:w="34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Según comentaron en clase, al menos dos personas se cayeron ahí. Nadie sabe a quién avisar.</w:t>
            </w:r>
          </w:p>
        </w:tc>
        <w:tc>
          <w:tcPr>
            <w:tcW w:type="dxa" w:w="16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Peatones que salen hacia el metro</w:t>
            </w:r>
          </w:p>
        </w:tc>
        <w:tc>
          <w:tcPr>
            <w:tcW w:type="dxa" w:w="215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 reporte y seguimiento; la reparación es externa</w:t>
            </w:r>
          </w:p>
        </w:tc>
      </w:tr>
      <w:tr>
        <w:trPr>
          <w:cantSplit/>
        </w:trPr>
        <w:tc>
          <w:tcPr>
            <w:tcW w:type="dxa" w:w="21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Criterios de evaluación distintos entre horarios de un mismo curso</w:t>
            </w:r>
          </w:p>
        </w:tc>
        <w:tc>
          <w:tcPr>
            <w:tcW w:type="dxa" w:w="34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Otro grupo contó que en un horario hay puntos adicionales o exámenes en casa, y en otro no. El sílabo es uno solo para todos los horarios.</w:t>
            </w:r>
          </w:p>
        </w:tc>
        <w:tc>
          <w:tcPr>
            <w:tcW w:type="dxa" w:w="165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Estudiantes del curso</w:t>
            </w:r>
          </w:p>
        </w:tc>
        <w:tc>
          <w:tcPr>
            <w:tcW w:type="dxa" w:w="215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 canal de reporte; la decisión es académica</w:t>
            </w:r>
          </w:p>
        </w:tc>
      </w:tr>
      <w:tr>
        <w:trPr>
          <w:cantSplit/>
        </w:trPr>
        <w:tc>
          <w:tcPr>
            <w:tcW w:type="dxa" w:w="210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Débil sentido de comunidad en Ingeniería Informática (elegido)</w:t>
            </w:r>
          </w:p>
        </w:tc>
        <w:tc>
          <w:tcPr>
            <w:tcW w:type="dxa" w:w="346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Actividades con poca asistencia, difusión tardía, dificultad para elegir qué organizar y poca participación de mujeres.</w:t>
            </w:r>
          </w:p>
        </w:tc>
        <w:tc>
          <w:tcPr>
            <w:tcW w:type="dxa" w:w="165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Estudiantes de la especialidad</w:t>
            </w:r>
          </w:p>
        </w:tc>
        <w:tc>
          <w:tcPr>
            <w:tcW w:type="dxa" w:w="215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 organización, difusión y registro de participación</w:t>
            </w:r>
          </w:p>
        </w:tc>
      </w:tr>
    </w:tbl>
    <w:p>
      <w:pPr>
        <w:keepNext/>
        <w:pBdr>
          <w:bottom w:val="single" w:color="1F3864" w:sz="6" w:space="4"/>
        </w:pBdr>
        <w:spacing w:after="160" w:before="320"/>
      </w:pPr>
      <w:r>
        <w:rPr>
          <w:rFonts w:ascii="Montserrat" w:cs="Montserrat" w:eastAsia="Montserrat" w:hAnsi="Montserrat"/>
          <w:b/>
          <w:bCs/>
          <w:color w:val="1F3864"/>
          <w:sz w:val="30"/>
          <w:szCs w:val="30"/>
        </w:rPr>
        <w:t xml:space="preserve">4. Problema priorizado</w:t>
      </w:r>
    </w:p>
    <w:p>
      <w:pPr>
        <w:keepNext/>
        <w:spacing w:after="110" w:before="220"/>
      </w:pPr>
      <w:r>
        <w:rPr>
          <w:rFonts w:ascii="Montserrat" w:cs="Montserrat" w:eastAsia="Montserrat" w:hAnsi="Montserrat"/>
          <w:b/>
          <w:bCs/>
          <w:color w:val="1F3864"/>
          <w:sz w:val="25"/>
          <w:szCs w:val="25"/>
        </w:rPr>
        <w:t xml:space="preserve">4.1 Enunciado</w:t>
      </w:r>
    </w:p>
    <w:p>
      <w:pPr>
        <w:spacing w:after="140" w:before="0" w:line="276"/>
        <w:jc w:val="both"/>
      </w:pPr>
      <w:r>
        <w:rPr>
          <w:rFonts w:ascii="Montserrat" w:cs="Montserrat" w:eastAsia="Montserrat" w:hAnsi="Montserrat"/>
          <w:b/>
          <w:bCs/>
          <w:color w:val="1A1A1A"/>
          <w:sz w:val="22"/>
          <w:szCs w:val="22"/>
        </w:rPr>
        <w:t xml:space="preserve">Los estudiantes de Ingeniería Informática participan poco en las actividades de su especialidad. </w:t>
      </w:r>
      <w:r>
        <w:rPr>
          <w:rFonts w:ascii="Montserrat" w:cs="Montserrat" w:eastAsia="Montserrat" w:hAnsi="Montserrat"/>
          <w:color w:val="1A1A1A"/>
          <w:sz w:val="22"/>
          <w:szCs w:val="22"/>
        </w:rPr>
        <w:t xml:space="preserve">Las actividades se organizan sin saber qué le interesa a la mayoría, se difunden tarde o no se difunden, y cada una empieza de cero porque no hay un calendario fijo. El resultado es una especialidad con muchos estudiantes que no se conocen entre sí, y que pesa poco cuando se toman decisiones en la facultad.</w:t>
      </w:r>
    </w:p>
    <w:p>
      <w:pPr>
        <w:keepNext/>
        <w:spacing w:after="110" w:before="220"/>
      </w:pPr>
      <w:r>
        <w:rPr>
          <w:rFonts w:ascii="Montserrat" w:cs="Montserrat" w:eastAsia="Montserrat" w:hAnsi="Montserrat"/>
          <w:b/>
          <w:bCs/>
          <w:color w:val="1F3864"/>
          <w:sz w:val="25"/>
          <w:szCs w:val="25"/>
        </w:rPr>
        <w:t xml:space="preserve">4.2 Evidencias recogidas en la conversación</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Una convocatoria presencial para un torneo de ajedrez se preparó con encuesta previa y sala coordinada con el profesor a cargo. No asistió nadie. Al volver al formato virtual participaron cuatro personas.</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Las bases de ese torneo exigen al menos una mujer por equipo. El grupo solo consiguió un contacto y no recibió respuesta. Una integrante estimó que, de unos 800 estudiantes de la especialidad, las mujeres son alrededor de 200.</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Cuando se propone un torneo de videojuegos, cada persona juega algo distinto: LoL, Valorant, Counter-Strike, FIFA, Mario Kart o juegos de un solo jugador. Cada vez que se eligió un juego hubo reclamos por los que quedaron fuera.</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La jornada deportiva de intercursos (fútbol, vóley, penales entre profesores y premiación a deportistas) no tuvo un resumen en las redes de la AATI, y muchos estudiantes no se enteraron de que ocurrió. La asociación ha estado poco activa este ciclo.</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Los torneos organizados buscaban sobre todo generar ingresos y se abrían a todas las carreras. Con inscripción pagada y premio, la actividad se vuelve competitiva y deja de integrar a la especialidad.</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Otras especialidades financian sus actividades con fiestas que recaudan entre S/ 10 000 y S/ 12 000 cada una. Ese modelo no le funciona al público de Informática.</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La asociación no tiene un ambiente asignado en el pabellón y para sus actividades cuenta con una sola cancha.</w:t>
      </w:r>
    </w:p>
    <w:p>
      <w:pPr>
        <w:pStyle w:val="ListParagraph"/>
        <w:numPr>
          <w:ilvl w:val="0"/>
          <w:numId w:val="2"/>
        </w:numPr>
        <w:spacing w:after="90" w:before="0" w:line="276"/>
        <w:jc w:val="both"/>
      </w:pPr>
      <w:r>
        <w:rPr>
          <w:rFonts w:ascii="Montserrat" w:cs="Montserrat" w:eastAsia="Montserrat" w:hAnsi="Montserrat"/>
          <w:color w:val="1A1A1A"/>
          <w:sz w:val="22"/>
          <w:szCs w:val="22"/>
        </w:rPr>
        <w:t xml:space="preserve">Lo que sí convocó gente: la chocolatada de fin de año, que llenó el pabellón, y las actividades donde participan profesores. Surgieron ideas como un show de talentos o duelos contra profesores.</w:t>
      </w:r>
    </w:p>
    <w:p>
      <w:pPr>
        <w:keepNext/>
        <w:spacing w:after="110" w:before="220"/>
      </w:pPr>
      <w:r>
        <w:rPr>
          <w:rFonts w:ascii="Montserrat" w:cs="Montserrat" w:eastAsia="Montserrat" w:hAnsi="Montserrat"/>
          <w:b/>
          <w:bCs/>
          <w:color w:val="1F3864"/>
          <w:sz w:val="25"/>
          <w:szCs w:val="25"/>
        </w:rPr>
        <w:t xml:space="preserve">4.3 Causas</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3100"/>
        <w:gridCol w:w="6260"/>
      </w:tblGrid>
      <w:tr>
        <w:trPr>
          <w:cantSplit/>
          <w:tblHeader/>
        </w:trPr>
        <w:tc>
          <w:tcPr>
            <w:tcW w:type="dxa" w:w="31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Causa</w:t>
            </w:r>
          </w:p>
        </w:tc>
        <w:tc>
          <w:tcPr>
            <w:tcW w:type="dxa" w:w="62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Cómo se manifiesta</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No se conoce qué le interesa a la mayoría</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El juego, la actividad o el horario se eligen por intuición de quienes organizan.</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Difusión tardía o inexistente</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La gente se entera a mitad de semana o después de la actividad; no queda registro de lo que se hizo.</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Falta de continuidad</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Cada actividad es aislada. Nadie se prepara para la siguiente porque no se sabe si habrá una.</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Objetivo recaudatorio</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Inscripción pagada y premio. La actividad se abre a otras carreras y deja de construir identidad propia.</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Barreras para sumarse</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Es difícil entrar sin un grupo de amigos ya armado. A las mujeres y a quienes no juegan les cuesta más.</w:t>
            </w:r>
          </w:p>
        </w:tc>
      </w:tr>
      <w:tr>
        <w:trPr>
          <w:cantSplit/>
        </w:trPr>
        <w:tc>
          <w:tcPr>
            <w:tcW w:type="dxa" w:w="31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Recursos limitados</w:t>
            </w:r>
          </w:p>
        </w:tc>
        <w:tc>
          <w:tcPr>
            <w:tcW w:type="dxa" w:w="62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Poco presupuesto, una sola cancha y ningún ambiente propio.</w:t>
            </w:r>
          </w:p>
        </w:tc>
      </w:tr>
    </w:tbl>
    <w:p>
      <w:pPr>
        <w:spacing w:after="120" w:before="0"/>
      </w:pPr>
    </w:p>
    <w:p>
      <w:pPr>
        <w:keepNext/>
        <w:spacing w:after="110" w:before="220"/>
      </w:pPr>
      <w:r>
        <w:rPr>
          <w:rFonts w:ascii="Montserrat" w:cs="Montserrat" w:eastAsia="Montserrat" w:hAnsi="Montserrat"/>
          <w:b/>
          <w:bCs/>
          <w:color w:val="1F3864"/>
          <w:sz w:val="25"/>
          <w:szCs w:val="25"/>
        </w:rPr>
        <w:t xml:space="preserve">4.4 Por qué importa</w:t>
      </w:r>
    </w:p>
    <w:p>
      <w:pPr>
        <w:spacing w:after="140" w:before="0" w:line="276"/>
        <w:jc w:val="both"/>
      </w:pPr>
      <w:r>
        <w:rPr>
          <w:rFonts w:ascii="Montserrat" w:cs="Montserrat" w:eastAsia="Montserrat" w:hAnsi="Montserrat"/>
          <w:color w:val="1A1A1A"/>
          <w:sz w:val="22"/>
          <w:szCs w:val="22"/>
        </w:rPr>
        <w:t xml:space="preserve">La docente planteó que el problema de fondo es de mentalidad: las actividades deberían servir para que los estudiantes se conozcan, no para recaudar. Una especialidad que no se organiza tampoco tiene quién la represente. Como ejemplo, mencionó que otra especialidad tiene alrededor de 120 estudiantes inscritos como electores en la facultad, y que ese nivel de organización se traduce en presencia en los órganos de gobierno.</w:t>
      </w:r>
    </w:p>
    <w:p>
      <w:pPr>
        <w:spacing w:after="140" w:before="0" w:line="276"/>
        <w:jc w:val="both"/>
      </w:pPr>
      <w:r>
        <w:rPr>
          <w:rFonts w:ascii="Montserrat" w:cs="Montserrat" w:eastAsia="Montserrat" w:hAnsi="Montserrat"/>
          <w:color w:val="1A1A1A"/>
          <w:sz w:val="22"/>
          <w:szCs w:val="22"/>
        </w:rPr>
        <w:t xml:space="preserve">Su sugerencia concreta para este laboratorio fue preguntar a los estudiantes qué les interesa e institucionalizar un torneo propio de la especialidad: fechas conocidas desde el inicio del ciclo (por ejemplo, la semana después de parciales), puntos acumulados durante el año y una final con trofeo en vitrina. Con fechas fijas, los estudiantes pueden prepararse y esperar el siguiente torneo.</w:t>
      </w:r>
    </w:p>
    <w:p>
      <w:pPr>
        <w:keepNext/>
        <w:spacing w:after="110" w:before="220"/>
      </w:pPr>
      <w:r>
        <w:rPr>
          <w:rFonts w:ascii="Montserrat" w:cs="Montserrat" w:eastAsia="Montserrat" w:hAnsi="Montserrat"/>
          <w:b/>
          <w:bCs/>
          <w:color w:val="1F3864"/>
          <w:sz w:val="25"/>
          <w:szCs w:val="25"/>
        </w:rPr>
        <w:t xml:space="preserve">4.5 Actores involucrados</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3480"/>
        <w:gridCol w:w="3280"/>
      </w:tblGrid>
      <w:tr>
        <w:trPr>
          <w:cantSplit/>
          <w:tblHeader/>
        </w:trPr>
        <w:tc>
          <w:tcPr>
            <w:tcW w:type="dxa" w:w="26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Actor</w:t>
            </w:r>
          </w:p>
        </w:tc>
        <w:tc>
          <w:tcPr>
            <w:tcW w:type="dxa" w:w="348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Qué busca</w:t>
            </w:r>
          </w:p>
        </w:tc>
        <w:tc>
          <w:tcPr>
            <w:tcW w:type="dxa" w:w="328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Relación con el producto</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Estudiantes de Informática, incluidos los ingresantes</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Conocer gente de su especialidad sin gastar</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Usuarios principales</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Estudiantes que no se animan o llegan solos, y mujeres de la especialidad</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Sumarse sin depender de un grupo armado</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Usuarios a quienes el diseño debe facilitar la entrada</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AATI y delegados (por ejemplo, de deportes)</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Organizar con menos esfuerzo y saber cuánta gente irá</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Administradores</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Sección y dirección de carrera</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Una comunidad activa</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Pueden respaldar fechas fijas y aportar refrigerios</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Profesores</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Acercarse a sus estudiantes</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Invitados a duelos y premiaciones</w:t>
            </w:r>
          </w:p>
        </w:tc>
      </w:tr>
      <w:tr>
        <w:trPr>
          <w:cantSplit/>
        </w:trPr>
        <w:tc>
          <w:tcPr>
            <w:tcW w:type="dxa" w:w="26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E-sports PUCP</w:t>
            </w:r>
          </w:p>
        </w:tc>
        <w:tc>
          <w:tcPr>
            <w:tcW w:type="dxa" w:w="34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Ya organiza torneos abiertos a toda la universidad</w:t>
            </w:r>
          </w:p>
        </w:tc>
        <w:tc>
          <w:tcPr>
            <w:tcW w:type="dxa" w:w="328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Referente; el producto no debe duplicarlo</w:t>
            </w:r>
          </w:p>
        </w:tc>
      </w:tr>
    </w:tbl>
    <w:p>
      <w:pPr>
        <w:keepNext/>
        <w:pBdr>
          <w:bottom w:val="single" w:color="1F3864" w:sz="6" w:space="4"/>
        </w:pBdr>
        <w:spacing w:after="160" w:before="320"/>
      </w:pPr>
      <w:r>
        <w:rPr>
          <w:rFonts w:ascii="Montserrat" w:cs="Montserrat" w:eastAsia="Montserrat" w:hAnsi="Montserrat"/>
          <w:b/>
          <w:bCs/>
          <w:color w:val="1F3864"/>
          <w:sz w:val="30"/>
          <w:szCs w:val="30"/>
        </w:rPr>
        <w:t xml:space="preserve">5. Dimensión ética y de responsabilidad social</w:t>
      </w:r>
    </w:p>
    <w:p>
      <w:pPr>
        <w:spacing w:after="140" w:before="0" w:line="276"/>
        <w:jc w:val="both"/>
      </w:pPr>
      <w:r>
        <w:rPr>
          <w:rFonts w:ascii="Montserrat" w:cs="Montserrat" w:eastAsia="Montserrat" w:hAnsi="Montserrat"/>
          <w:b/>
          <w:bCs/>
          <w:color w:val="1A1A1A"/>
          <w:sz w:val="22"/>
          <w:szCs w:val="22"/>
        </w:rPr>
        <w:t xml:space="preserve">Inclusión. </w:t>
      </w:r>
      <w:r>
        <w:rPr>
          <w:rFonts w:ascii="Montserrat" w:cs="Montserrat" w:eastAsia="Montserrat" w:hAnsi="Montserrat"/>
          <w:color w:val="1A1A1A"/>
          <w:sz w:val="22"/>
          <w:szCs w:val="22"/>
        </w:rPr>
        <w:t xml:space="preserve">Si para participar hace falta llegar con un equipo armado, quedan fuera justamente quienes más necesitan integrarse. El producto debe permitir inscribirse de forma individual y ser sumado a un equipo.</w:t>
      </w:r>
    </w:p>
    <w:p>
      <w:pPr>
        <w:spacing w:after="140" w:before="0" w:line="276"/>
        <w:jc w:val="both"/>
      </w:pPr>
      <w:r>
        <w:rPr>
          <w:rFonts w:ascii="Montserrat" w:cs="Montserrat" w:eastAsia="Montserrat" w:hAnsi="Montserrat"/>
          <w:b/>
          <w:bCs/>
          <w:color w:val="1A1A1A"/>
          <w:sz w:val="22"/>
          <w:szCs w:val="22"/>
        </w:rPr>
        <w:t xml:space="preserve">Protección de datos personales. </w:t>
      </w:r>
      <w:r>
        <w:rPr>
          <w:rFonts w:ascii="Montserrat" w:cs="Montserrat" w:eastAsia="Montserrat" w:hAnsi="Montserrat"/>
          <w:color w:val="1A1A1A"/>
          <w:sz w:val="22"/>
          <w:szCs w:val="22"/>
        </w:rPr>
        <w:t xml:space="preserve">La Ley N.° 29733 obliga a pedir consentimiento y a recolectar solo lo necesario. El producto pedirá nombre, correo y especialidad; no pedirá datos sensibles. Si una competencia exige equipos mixtos, será el equipo quien declare que cumple la regla, sin que la plataforma tenga que guardar el género de cada persona. Las fotos de los resúmenes se publicarán solo con autorización de quienes aparecen.</w:t>
      </w:r>
    </w:p>
    <w:p>
      <w:pPr>
        <w:spacing w:after="140" w:before="0" w:line="276"/>
        <w:jc w:val="both"/>
      </w:pPr>
      <w:r>
        <w:rPr>
          <w:rFonts w:ascii="Montserrat" w:cs="Montserrat" w:eastAsia="Montserrat" w:hAnsi="Montserrat"/>
          <w:b/>
          <w:bCs/>
          <w:color w:val="1A1A1A"/>
          <w:sz w:val="22"/>
          <w:szCs w:val="22"/>
        </w:rPr>
        <w:t xml:space="preserve">Integración antes que recaudación. </w:t>
      </w:r>
      <w:r>
        <w:rPr>
          <w:rFonts w:ascii="Montserrat" w:cs="Montserrat" w:eastAsia="Montserrat" w:hAnsi="Montserrat"/>
          <w:color w:val="1A1A1A"/>
          <w:sz w:val="22"/>
          <w:szCs w:val="22"/>
        </w:rPr>
        <w:t xml:space="preserve">El ranking dará puntos por participar y no solo por ganar, para que la competencia no desplace al objetivo de conocerse.</w:t>
      </w:r>
    </w:p>
    <w:p>
      <w:pPr>
        <w:spacing w:after="140" w:before="0" w:line="276"/>
        <w:jc w:val="both"/>
      </w:pPr>
      <w:r>
        <w:rPr>
          <w:rFonts w:ascii="Montserrat" w:cs="Montserrat" w:eastAsia="Montserrat" w:hAnsi="Montserrat"/>
          <w:b/>
          <w:bCs/>
          <w:color w:val="1A1A1A"/>
          <w:sz w:val="22"/>
          <w:szCs w:val="22"/>
        </w:rPr>
        <w:t xml:space="preserve">Autoría y propiedad intelectual. </w:t>
      </w:r>
      <w:r>
        <w:rPr>
          <w:rFonts w:ascii="Montserrat" w:cs="Montserrat" w:eastAsia="Montserrat" w:hAnsi="Montserrat"/>
          <w:color w:val="1A1A1A"/>
          <w:sz w:val="22"/>
          <w:szCs w:val="22"/>
        </w:rPr>
        <w:t xml:space="preserve">El producto llevará los nombres del grupo. Si se entrega a la AATI o a la sección, se dejará por escrito que su uso es académico y comunitario.</w:t>
      </w:r>
    </w:p>
    <w:p>
      <w:pPr>
        <w:spacing w:after="140" w:before="0" w:line="276"/>
        <w:jc w:val="both"/>
      </w:pPr>
      <w:r>
        <w:rPr>
          <w:rFonts w:ascii="Montserrat" w:cs="Montserrat" w:eastAsia="Montserrat" w:hAnsi="Montserrat"/>
          <w:b/>
          <w:bCs/>
          <w:color w:val="1A1A1A"/>
          <w:sz w:val="22"/>
          <w:szCs w:val="22"/>
        </w:rPr>
        <w:t xml:space="preserve">Uso de inteligencia artificial. </w:t>
      </w:r>
      <w:r>
        <w:rPr>
          <w:rFonts w:ascii="Montserrat" w:cs="Montserrat" w:eastAsia="Montserrat" w:hAnsi="Montserrat"/>
          <w:color w:val="1A1A1A"/>
          <w:sz w:val="22"/>
          <w:szCs w:val="22"/>
        </w:rPr>
        <w:t xml:space="preserve">El curso permite usar IA siempre que se declare. El grupo registrará en qué partes la usó (redacción, generación de código, diseño) para la declaración obligatoria.</w:t>
      </w:r>
    </w:p>
    <w:p>
      <w:pPr>
        <w:keepNext/>
        <w:pBdr>
          <w:bottom w:val="single" w:color="1F3864" w:sz="6" w:space="4"/>
        </w:pBdr>
        <w:spacing w:after="160" w:before="320"/>
      </w:pPr>
      <w:r>
        <w:rPr>
          <w:rFonts w:ascii="Montserrat" w:cs="Montserrat" w:eastAsia="Montserrat" w:hAnsi="Montserrat"/>
          <w:b/>
          <w:bCs/>
          <w:color w:val="1F3864"/>
          <w:sz w:val="30"/>
          <w:szCs w:val="30"/>
        </w:rPr>
        <w:t xml:space="preserve">6. Alternativas evaluadas</w:t>
      </w:r>
    </w:p>
    <w:p>
      <w:pPr>
        <w:spacing w:after="140" w:before="0" w:line="276"/>
        <w:jc w:val="both"/>
      </w:pPr>
      <w:r>
        <w:rPr>
          <w:rFonts w:ascii="Montserrat" w:cs="Montserrat" w:eastAsia="Montserrat" w:hAnsi="Montserrat"/>
          <w:color w:val="1A1A1A"/>
          <w:sz w:val="22"/>
          <w:szCs w:val="22"/>
        </w:rPr>
        <w:t xml:space="preserve">Se compararon las cuatro ideas con más potencial según los filtros de la sección 2. En la columna "Sin terceros", "Alto" significa que el producto funciona sin esperar la respuesta de una oficina.</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2160"/>
        <w:gridCol w:w="1440"/>
        <w:gridCol w:w="1440"/>
        <w:gridCol w:w="1440"/>
        <w:gridCol w:w="1440"/>
        <w:gridCol w:w="1440"/>
      </w:tblGrid>
      <w:tr>
        <w:trPr>
          <w:cantSplit/>
          <w:tblHeader/>
        </w:trPr>
        <w:tc>
          <w:tcPr>
            <w:tcW w:type="dxa" w:w="21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Alternativa</w:t>
            </w:r>
          </w:p>
        </w:tc>
        <w:tc>
          <w:tcPr>
            <w:tcW w:type="dxa" w:w="144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Problema concreto</w:t>
            </w:r>
          </w:p>
        </w:tc>
        <w:tc>
          <w:tcPr>
            <w:tcW w:type="dxa" w:w="144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Lo resuelve el software</w:t>
            </w:r>
          </w:p>
        </w:tc>
        <w:tc>
          <w:tcPr>
            <w:tcW w:type="dxa" w:w="144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Viable en el lab</w:t>
            </w:r>
          </w:p>
        </w:tc>
        <w:tc>
          <w:tcPr>
            <w:tcW w:type="dxa" w:w="144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Se puede probar</w:t>
            </w:r>
          </w:p>
        </w:tc>
        <w:tc>
          <w:tcPr>
            <w:tcW w:type="dxa" w:w="144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Sin terceros</w:t>
            </w:r>
          </w:p>
        </w:tc>
      </w:tr>
      <w:tr>
        <w:trPr>
          <w:cantSplit/>
        </w:trPr>
        <w:tc>
          <w:tcPr>
            <w:tcW w:type="dxa" w:w="216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A. Plataforma de comunidad de Informática</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w:t>
            </w:r>
          </w:p>
        </w:tc>
      </w:tr>
      <w:tr>
        <w:trPr>
          <w:cantSplit/>
        </w:trPr>
        <w:tc>
          <w:tcPr>
            <w:tcW w:type="dxa" w:w="216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B. Registro de necesidades de aula (cursos con laptop)</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r>
      <w:tr>
        <w:trPr>
          <w:cantSplit/>
        </w:trPr>
        <w:tc>
          <w:tcPr>
            <w:tcW w:type="dxa" w:w="216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C. Reporte de incidentes del campus con seguimiento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FFF0C2"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Medio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r>
      <w:tr>
        <w:trPr>
          <w:cantSplit/>
        </w:trPr>
        <w:tc>
          <w:tcPr>
            <w:tcW w:type="dxa" w:w="216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D. Comprobantes para ventas en el campus</w:t>
            </w:r>
          </w:p>
        </w:tc>
        <w:tc>
          <w:tcPr>
            <w:tcW w:type="dxa" w:w="1440"/>
            <w:shd w:fill="DCEBD3"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Alto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c>
          <w:tcPr>
            <w:tcW w:type="dxa" w:w="1440"/>
            <w:shd w:fill="F4CCCC"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Bajo</w:t>
            </w:r>
          </w:p>
        </w:tc>
      </w:tr>
    </w:tbl>
    <w:p>
      <w:pPr>
        <w:spacing w:after="120" w:before="0"/>
      </w:pPr>
    </w:p>
    <w:p>
      <w:pPr>
        <w:spacing w:after="140" w:before="0" w:line="276"/>
        <w:jc w:val="both"/>
      </w:pPr>
      <w:r>
        <w:rPr>
          <w:rFonts w:ascii="Montserrat" w:cs="Montserrat" w:eastAsia="Montserrat" w:hAnsi="Montserrat"/>
          <w:color w:val="1A1A1A"/>
          <w:sz w:val="22"/>
          <w:szCs w:val="22"/>
        </w:rPr>
        <w:t xml:space="preserve">B y C también eran viables. Se eligió A porque parte de la experiencia directa de integrantes que organizan actividades, tiene usuarios a quienes probarla de inmediato y solo necesita que la AATI la adopte, no una decisión administrativa. C queda como alternativa si el grupo decide cambiar de enfoque.</w:t>
      </w:r>
    </w:p>
    <w:p>
      <w:pPr>
        <w:keepNext/>
        <w:pBdr>
          <w:bottom w:val="single" w:color="1F3864" w:sz="6" w:space="4"/>
        </w:pBdr>
        <w:spacing w:after="160" w:before="320"/>
      </w:pPr>
      <w:r>
        <w:rPr>
          <w:rFonts w:ascii="Montserrat" w:cs="Montserrat" w:eastAsia="Montserrat" w:hAnsi="Montserrat"/>
          <w:b/>
          <w:bCs/>
          <w:color w:val="1F3864"/>
          <w:sz w:val="30"/>
          <w:szCs w:val="30"/>
        </w:rPr>
        <w:t xml:space="preserve">7. Propuesta de producto informático</w:t>
      </w:r>
    </w:p>
    <w:p>
      <w:pPr>
        <w:spacing w:after="140" w:before="0" w:line="276"/>
        <w:jc w:val="both"/>
      </w:pPr>
      <w:r>
        <w:rPr>
          <w:rFonts w:ascii="Montserrat" w:cs="Montserrat" w:eastAsia="Montserrat" w:hAnsi="Montserrat"/>
          <w:b/>
          <w:bCs/>
          <w:color w:val="1A1A1A"/>
          <w:sz w:val="22"/>
          <w:szCs w:val="22"/>
        </w:rPr>
        <w:t xml:space="preserve">Nombre provisional: </w:t>
      </w:r>
      <w:r>
        <w:rPr>
          <w:rFonts w:ascii="Montserrat" w:cs="Montserrat" w:eastAsia="Montserrat" w:hAnsi="Montserrat"/>
          <w:color w:val="1A1A1A"/>
          <w:sz w:val="22"/>
          <w:szCs w:val="22"/>
        </w:rPr>
        <w:t xml:space="preserve">Comunidad INF.</w:t>
      </w:r>
    </w:p>
    <w:p>
      <w:pPr>
        <w:spacing w:after="140" w:before="0" w:line="276"/>
        <w:jc w:val="both"/>
      </w:pPr>
      <w:r>
        <w:rPr>
          <w:rFonts w:ascii="Montserrat" w:cs="Montserrat" w:eastAsia="Montserrat" w:hAnsi="Montserrat"/>
          <w:color w:val="1A1A1A"/>
          <w:sz w:val="22"/>
          <w:szCs w:val="22"/>
        </w:rPr>
        <w:t xml:space="preserve">Es una aplicación web para planificar, difundir y registrar las actividades de integración de la especialidad durante el ciclo. Funciona desde el celular y se comparte con un enlace.</w:t>
      </w:r>
    </w:p>
    <w:p>
      <w:pPr>
        <w:keepNext/>
        <w:spacing w:after="110" w:before="220"/>
      </w:pPr>
      <w:r>
        <w:rPr>
          <w:rFonts w:ascii="Montserrat" w:cs="Montserrat" w:eastAsia="Montserrat" w:hAnsi="Montserrat"/>
          <w:b/>
          <w:bCs/>
          <w:color w:val="1F3864"/>
          <w:sz w:val="25"/>
          <w:szCs w:val="25"/>
        </w:rPr>
        <w:t xml:space="preserve">7.1 Funcionalidades del producto mínimo</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600"/>
        <w:gridCol w:w="3700"/>
        <w:gridCol w:w="5060"/>
      </w:tblGrid>
      <w:tr>
        <w:trPr>
          <w:cantSplit/>
          <w:tblHeader/>
        </w:trPr>
        <w:tc>
          <w:tcPr>
            <w:tcW w:type="dxa" w:w="6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w:t>
            </w:r>
          </w:p>
        </w:tc>
        <w:tc>
          <w:tcPr>
            <w:tcW w:type="dxa" w:w="37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Funcionalidad</w:t>
            </w:r>
          </w:p>
        </w:tc>
        <w:tc>
          <w:tcPr>
            <w:tcW w:type="dxa" w:w="50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Causa que ataca</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1</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Encuesta de intereses y votación de juegos, actividades y horarios</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No se conoce qué le interesa a la mayoría</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2</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Calendario de temporada con las fechas fijas del ciclo</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Falta de continuidad y difusión tardía</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3</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Inscripción individual o por equipo, con una bolsa de "busco equipo" y "buscamos integrante"</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Barreras para sumarse</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4</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Ranking de temporada con puntos por participar y por resultados, y una final de fin de ciclo</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Falta de continuidad; objetivo recaudatorio</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5</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Resumen de cada actividad: resultados, ganadores y fotos autorizadas</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No queda registro de lo que se hizo</w:t>
            </w:r>
          </w:p>
        </w:tc>
      </w:tr>
      <w:tr>
        <w:trPr>
          <w:cantSplit/>
        </w:trPr>
        <w:tc>
          <w:tcPr>
            <w:tcW w:type="dxa" w:w="600"/>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6</w:t>
            </w:r>
          </w:p>
        </w:tc>
        <w:tc>
          <w:tcPr>
            <w:tcW w:type="dxa" w:w="370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Panel del organizador para crear actividades, ver inscritos y registrar resultados</w:t>
            </w:r>
          </w:p>
        </w:tc>
        <w:tc>
          <w:tcPr>
            <w:tcW w:type="dxa" w:w="5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Organizar con pocos recursos</w:t>
            </w:r>
          </w:p>
        </w:tc>
      </w:tr>
    </w:tbl>
    <w:p>
      <w:pPr>
        <w:spacing w:after="120" w:before="0"/>
      </w:pPr>
    </w:p>
    <w:p>
      <w:pPr>
        <w:keepNext/>
        <w:spacing w:after="110" w:before="220"/>
      </w:pPr>
      <w:r>
        <w:rPr>
          <w:rFonts w:ascii="Montserrat" w:cs="Montserrat" w:eastAsia="Montserrat" w:hAnsi="Montserrat"/>
          <w:b/>
          <w:bCs/>
          <w:color w:val="1F3864"/>
          <w:sz w:val="25"/>
          <w:szCs w:val="25"/>
        </w:rPr>
        <w:t xml:space="preserve">7.2 Fuera de alcance</w:t>
      </w:r>
    </w:p>
    <w:p>
      <w:pPr>
        <w:spacing w:after="140" w:before="0" w:line="276"/>
        <w:jc w:val="both"/>
      </w:pPr>
      <w:r>
        <w:rPr>
          <w:rFonts w:ascii="Montserrat" w:cs="Montserrat" w:eastAsia="Montserrat" w:hAnsi="Montserrat"/>
          <w:color w:val="1A1A1A"/>
          <w:sz w:val="22"/>
          <w:szCs w:val="22"/>
        </w:rPr>
        <w:t xml:space="preserve">Pagos en línea, integración con sistemas de la universidad (Campus Virtual o Paideia), aplicación móvil nativa e inicio de sesión con la cuenta PUCP. Son mejoras posibles, pero no caben en el tiempo del laboratorio y no son necesarias para probar la idea.</w:t>
      </w:r>
    </w:p>
    <w:p>
      <w:pPr>
        <w:keepNext/>
        <w:spacing w:after="110" w:before="220"/>
      </w:pPr>
      <w:r>
        <w:rPr>
          <w:rFonts w:ascii="Montserrat" w:cs="Montserrat" w:eastAsia="Montserrat" w:hAnsi="Montserrat"/>
          <w:b/>
          <w:bCs/>
          <w:color w:val="1F3864"/>
          <w:sz w:val="25"/>
          <w:szCs w:val="25"/>
        </w:rPr>
        <w:t xml:space="preserve">7.3 Cómo se probará</w:t>
      </w:r>
    </w:p>
    <w:p>
      <w:pPr>
        <w:spacing w:after="140" w:before="0" w:line="276"/>
        <w:jc w:val="both"/>
      </w:pPr>
      <w:r>
        <w:rPr>
          <w:rFonts w:ascii="Montserrat" w:cs="Montserrat" w:eastAsia="Montserrat" w:hAnsi="Montserrat"/>
          <w:color w:val="1A1A1A"/>
          <w:sz w:val="22"/>
          <w:szCs w:val="22"/>
        </w:rPr>
        <w:t xml:space="preserve">Una persona ajena al grupo entra al enlace, responde la encuesta y se inscribe sola a un torneo. Aparece en la bolsa de "busco equipo" y un organizador la asigna a un equipo. Al cerrar la actividad, el organizador registra los resultados y ella ve sus puntos en el ranking. Si completa ese recorrido sin ayuda, el producto cumple el requisito de ser utilizable.</w:t>
      </w:r>
    </w:p>
    <w:p>
      <w:pPr>
        <w:spacing w:after="140" w:before="0" w:line="276"/>
        <w:jc w:val="both"/>
      </w:pPr>
      <w:r>
        <w:rPr>
          <w:rFonts w:ascii="Montserrat" w:cs="Montserrat" w:eastAsia="Montserrat" w:hAnsi="Montserrat"/>
          <w:color w:val="1A1A1A"/>
          <w:sz w:val="22"/>
          <w:szCs w:val="22"/>
        </w:rPr>
        <w:t xml:space="preserve">Después del laboratorio, la AATI podría medir si la herramienta sirve con tres datos: cuántos se inscriben por actividad, cuántas inscripciones individuales terminan en un equipo y cuántas personas responden la encuesta.</w:t>
      </w:r>
    </w:p>
    <w:p>
      <w:pPr>
        <w:keepNext/>
        <w:pBdr>
          <w:bottom w:val="single" w:color="1F3864" w:sz="6" w:space="4"/>
        </w:pBdr>
        <w:spacing w:after="160" w:before="320"/>
      </w:pPr>
      <w:r>
        <w:rPr>
          <w:rFonts w:ascii="Montserrat" w:cs="Montserrat" w:eastAsia="Montserrat" w:hAnsi="Montserrat"/>
          <w:b/>
          <w:bCs/>
          <w:color w:val="1F3864"/>
          <w:sz w:val="30"/>
          <w:szCs w:val="30"/>
        </w:rPr>
        <w:t xml:space="preserve">8. Supuestos, riesgos y preguntas abiertas</w:t>
      </w:r>
    </w:p>
    <w:tbl>
      <w:tblPr>
        <w:tblW w:type="dxa" w:w="9360"/>
        <w:tblBorders>
          <w:top w:val="single" w:color="D0D0D0" w:sz="2"/>
          <w:left w:val="single" w:color="D0D0D0" w:sz="2"/>
          <w:bottom w:val="single" w:color="D0D0D0" w:sz="2"/>
          <w:right w:val="single" w:color="D0D0D0" w:sz="2"/>
          <w:insideH w:val="single" w:color="D0D0D0" w:sz="2"/>
          <w:insideV w:val="single" w:color="D0D0D0" w:sz="2"/>
        </w:tblBorders>
      </w:tblPr>
      <w:tblGrid>
        <w:gridCol w:w="3300"/>
        <w:gridCol w:w="6060"/>
      </w:tblGrid>
      <w:tr>
        <w:trPr>
          <w:cantSplit/>
          <w:tblHeader/>
        </w:trPr>
        <w:tc>
          <w:tcPr>
            <w:tcW w:type="dxa" w:w="330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Riesgo o supuesto</w:t>
            </w:r>
          </w:p>
        </w:tc>
        <w:tc>
          <w:tcPr>
            <w:tcW w:type="dxa" w:w="6060"/>
            <w:shd w:fill="1F3864" w:color="auto" w:val="clear"/>
            <w:tcMar>
              <w:top w:type="dxa" w:w="70"/>
              <w:left w:type="dxa" w:w="100"/>
              <w:bottom w:type="dxa" w:w="70"/>
              <w:right w:type="dxa" w:w="100"/>
            </w:tcMar>
            <w:vAlign w:val="center"/>
          </w:tcPr>
          <w:p>
            <w:pPr>
              <w:spacing w:after="0" w:before="0" w:line="252"/>
            </w:pPr>
            <w:r>
              <w:rPr>
                <w:rFonts w:ascii="Montserrat" w:cs="Montserrat" w:eastAsia="Montserrat" w:hAnsi="Montserrat"/>
                <w:b/>
                <w:bCs/>
                <w:color w:val="FFFFFF"/>
                <w:sz w:val="22"/>
                <w:szCs w:val="22"/>
              </w:rPr>
              <w:t xml:space="preserve">Cómo se maneja</w:t>
            </w:r>
          </w:p>
        </w:tc>
      </w:tr>
      <w:tr>
        <w:trPr>
          <w:cantSplit/>
        </w:trPr>
        <w:tc>
          <w:tcPr>
            <w:tcW w:type="dxa" w:w="33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El número de estudiantes no está confirmado: una integrante habló de unos 800 y la docente, de unos 1000</w:t>
            </w:r>
          </w:p>
        </w:tc>
        <w:tc>
          <w:tcPr>
            <w:tcW w:type="dxa" w:w="6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Confirmarlo con la sección antes de usarlo en el documento del producto.</w:t>
            </w:r>
          </w:p>
        </w:tc>
      </w:tr>
      <w:tr>
        <w:trPr>
          <w:cantSplit/>
        </w:trPr>
        <w:tc>
          <w:tcPr>
            <w:tcW w:type="dxa" w:w="33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Sin alguien que cargue actividades, la plataforma queda vacía</w:t>
            </w:r>
          </w:p>
        </w:tc>
        <w:tc>
          <w:tcPr>
            <w:tcW w:type="dxa" w:w="6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Acordar con la AATI una actividad piloto real, por ejemplo el torneo posterior a parciales.</w:t>
            </w:r>
          </w:p>
        </w:tc>
      </w:tr>
      <w:tr>
        <w:trPr>
          <w:cantSplit/>
        </w:trPr>
        <w:tc>
          <w:tcPr>
            <w:tcW w:type="dxa" w:w="33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Duplicar lo que ya hace E-sports PUCP</w:t>
            </w:r>
          </w:p>
        </w:tc>
        <w:tc>
          <w:tcPr>
            <w:tcW w:type="dxa" w:w="6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Enfocarse en actividades internas de la especialidad y no solo en videojuegos.</w:t>
            </w:r>
          </w:p>
        </w:tc>
      </w:tr>
      <w:tr>
        <w:trPr>
          <w:cantSplit/>
        </w:trPr>
        <w:tc>
          <w:tcPr>
            <w:tcW w:type="dxa" w:w="33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La difusión sigue dependiendo de WhatsApp y redes</w:t>
            </w:r>
          </w:p>
        </w:tc>
        <w:tc>
          <w:tcPr>
            <w:tcW w:type="dxa" w:w="6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Cada actividad genera un enlace y un texto listos para compartir en esos canales.</w:t>
            </w:r>
          </w:p>
        </w:tc>
      </w:tr>
      <w:tr>
        <w:trPr>
          <w:cantSplit/>
        </w:trPr>
        <w:tc>
          <w:tcPr>
            <w:tcW w:type="dxa" w:w="3300"/>
            <w:shd w:fill="F2F2F2" w:color="auto" w:val="clear"/>
            <w:tcMar>
              <w:top w:type="dxa" w:w="70"/>
              <w:left w:type="dxa" w:w="100"/>
              <w:bottom w:type="dxa" w:w="70"/>
              <w:right w:type="dxa" w:w="100"/>
            </w:tcMar>
            <w:vAlign w:val="center"/>
          </w:tcPr>
          <w:p>
            <w:pPr>
              <w:spacing w:after="0" w:before="0" w:line="252"/>
            </w:pPr>
            <w:r>
              <w:rPr>
                <w:rFonts w:ascii="Montserrat" w:cs="Montserrat" w:eastAsia="Montserrat" w:hAnsi="Montserrat"/>
                <w:color w:val="1A1A1A"/>
                <w:sz w:val="22"/>
                <w:szCs w:val="22"/>
              </w:rPr>
              <w:t xml:space="preserve">Manejo de datos personales</w:t>
            </w:r>
          </w:p>
        </w:tc>
        <w:tc>
          <w:tcPr>
            <w:tcW w:type="dxa" w:w="6060"/>
            <w:tcMar>
              <w:top w:type="dxa" w:w="70"/>
              <w:left w:type="dxa" w:w="100"/>
              <w:bottom w:type="dxa" w:w="70"/>
              <w:right w:type="dxa" w:w="100"/>
            </w:tcMar>
            <w:vAlign w:val="center"/>
          </w:tcPr>
          <w:p>
            <w:pPr>
              <w:spacing w:after="0" w:before="0" w:line="252"/>
            </w:pPr>
            <w:r>
              <w:rPr>
                <w:rFonts w:ascii="Montserrat" w:cs="Montserrat" w:eastAsia="Montserrat" w:hAnsi="Montserrat"/>
                <w:b w:val="false"/>
                <w:bCs w:val="false"/>
                <w:color w:val="1A1A1A"/>
                <w:sz w:val="22"/>
                <w:szCs w:val="22"/>
              </w:rPr>
              <w:t xml:space="preserve">Consentimiento explícito, datos mínimos y borrado al final del ciclo si el usuario lo pide.</w:t>
            </w:r>
          </w:p>
        </w:tc>
      </w:tr>
    </w:tbl>
    <w:p>
      <w:pPr>
        <w:spacing w:after="120" w:before="0"/>
      </w:pPr>
    </w:p>
    <w:p>
      <w:pPr>
        <w:keepNext/>
        <w:pBdr>
          <w:bottom w:val="single" w:color="1F3864" w:sz="6" w:space="4"/>
        </w:pBdr>
        <w:spacing w:after="160" w:before="320"/>
      </w:pPr>
      <w:r>
        <w:rPr>
          <w:rFonts w:ascii="Montserrat" w:cs="Montserrat" w:eastAsia="Montserrat" w:hAnsi="Montserrat"/>
          <w:b/>
          <w:bCs/>
          <w:color w:val="1F3864"/>
          <w:sz w:val="30"/>
          <w:szCs w:val="30"/>
        </w:rPr>
        <w:t xml:space="preserve">9. Próximos pasos para el laboratorio</w:t>
      </w:r>
    </w:p>
    <w:p>
      <w:pPr>
        <w:pStyle w:val="ListParagraph"/>
        <w:numPr>
          <w:ilvl w:val="0"/>
          <w:numId w:val="3"/>
        </w:numPr>
        <w:spacing w:after="90" w:line="276"/>
      </w:pPr>
      <w:r>
        <w:rPr>
          <w:rFonts w:ascii="Montserrat" w:cs="Montserrat" w:eastAsia="Montserrat" w:hAnsi="Montserrat"/>
          <w:color w:val="1A1A1A"/>
          <w:sz w:val="22"/>
          <w:szCs w:val="22"/>
        </w:rPr>
        <w:t xml:space="preserve">Confirmar el alcance del producto mínimo de la sección 7.1 y repartir responsabilidades.</w:t>
      </w:r>
    </w:p>
    <w:p>
      <w:pPr>
        <w:pStyle w:val="ListParagraph"/>
        <w:numPr>
          <w:ilvl w:val="0"/>
          <w:numId w:val="3"/>
        </w:numPr>
        <w:spacing w:after="90" w:line="276"/>
      </w:pPr>
      <w:r>
        <w:rPr>
          <w:rFonts w:ascii="Montserrat" w:cs="Montserrat" w:eastAsia="Montserrat" w:hAnsi="Montserrat"/>
          <w:color w:val="1A1A1A"/>
          <w:sz w:val="22"/>
          <w:szCs w:val="22"/>
        </w:rPr>
        <w:t xml:space="preserve">Construir el producto con apoyo de IA y registrar cada uso para la declaración.</w:t>
      </w:r>
    </w:p>
    <w:p>
      <w:pPr>
        <w:pStyle w:val="ListParagraph"/>
        <w:numPr>
          <w:ilvl w:val="0"/>
          <w:numId w:val="3"/>
        </w:numPr>
        <w:spacing w:after="90" w:line="276"/>
      </w:pPr>
      <w:r>
        <w:rPr>
          <w:rFonts w:ascii="Montserrat" w:cs="Montserrat" w:eastAsia="Montserrat" w:hAnsi="Montserrat"/>
          <w:color w:val="1A1A1A"/>
          <w:sz w:val="22"/>
          <w:szCs w:val="22"/>
        </w:rPr>
        <w:t xml:space="preserve">Cargar una actividad real de prueba y hacer la prueba de la sección 7.3 con una persona de otro grupo.</w:t>
      </w:r>
    </w:p>
    <w:p>
      <w:pPr>
        <w:pStyle w:val="ListParagraph"/>
        <w:numPr>
          <w:ilvl w:val="0"/>
          <w:numId w:val="3"/>
        </w:numPr>
        <w:spacing w:after="90" w:line="276"/>
      </w:pPr>
      <w:r>
        <w:rPr>
          <w:rFonts w:ascii="Montserrat" w:cs="Montserrat" w:eastAsia="Montserrat" w:hAnsi="Montserrat"/>
          <w:color w:val="1A1A1A"/>
          <w:sz w:val="22"/>
          <w:szCs w:val="22"/>
        </w:rPr>
        <w:t xml:space="preserve">Redactar el documento breve del producto y la declaración de uso de IA.</w:t>
      </w:r>
    </w:p>
    <w:sectPr>
      <w:headerReference w:type="default" r:id="rId6"/>
      <w:headerReference w:type="first" r:id="rId7"/>
      <w:footerReference w:type="default" r:id="rId8"/>
      <w:footerReference w:type="first" r:id="rId9"/>
      <w:pgSz w:w="11906" w:h="16838" w:orient="portrait"/>
      <w:pgMar w:top="1080" w:right="1273" w:bottom="1080" w:left="1273"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595959"/>
        <w:sz w:val="22"/>
        <w:szCs w:val="22"/>
      </w:rPr>
      <w:t xml:space="preserve">Informe de exploración del problema · Ética y RSU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rFonts w:ascii="Montserrat" w:cs="Montserrat" w:eastAsia="Montserrat" w:hAnsi="Montserrat"/>
        <w:color w:val="1F3864"/>
      </w:rPr>
    </w:lvl>
  </w:abstractNum>
  <w:abstractNum w:abstractNumId="3" w15:restartNumberingAfterBreak="0">
    <w:multiLevelType w:val="hybridMultilevel"/>
    <w:lvl w:ilvl="0" w:tentative="1">
      <w:start w:val="1"/>
      <w:numFmt w:val="decimal"/>
      <w:lvlText w:val="%1."/>
      <w:lvlJc w:val="left"/>
      <w:pPr>
        <w:ind w:left="400" w:hanging="300"/>
      </w:pPr>
      <w:rPr>
        <w:rFonts w:ascii="Montserrat" w:cs="Montserrat" w:eastAsia="Montserrat" w:hAnsi="Montserrat"/>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2026-10-27T00:59:48.135Z</dcterms:created>
  <dcterms:modified xsi:type="dcterms:W3CDTF">2026-10-27T00:59:48.135Z</dcterms:modified>
</cp:coreProperties>
</file>

<file path=docProps/custom.xml><?xml version="1.0" encoding="utf-8"?>
<Properties xmlns="http://schemas.openxmlformats.org/officeDocument/2006/custom-properties" xmlns:vt="http://schemas.openxmlformats.org/officeDocument/2006/docPropsVTypes"/>
</file>