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Montserrat" w:cs="Montserrat" w:eastAsia="Montserrat" w:hAnsi="Montserrat"/>
          <w:b/>
          <w:bCs/>
          <w:color w:val="595959"/>
          <w:sz w:val="22"/>
          <w:szCs w:val="22"/>
        </w:rPr>
        <w:t xml:space="preserve">PONTIFICIA UNIVERSIDAD CATÓLICA DEL PERÚ</w:t>
      </w:r>
    </w:p>
    <w:p>
      <w:pPr>
        <w:spacing w:after="60"/>
      </w:pPr>
      <w:r>
        <w:rPr>
          <w:rFonts w:ascii="Montserrat" w:cs="Montserrat" w:eastAsia="Montserrat" w:hAnsi="Montserrat"/>
          <w:color w:val="595959"/>
          <w:sz w:val="22"/>
          <w:szCs w:val="22"/>
        </w:rPr>
        <w:t xml:space="preserve">Facultad de Ciencias e Ingeniería · Ingeniería Informática</w:t>
      </w:r>
    </w:p>
    <w:p>
      <w:pPr>
        <w:spacing w:after="60"/>
      </w:pPr>
      <w:r>
        <w:rPr>
          <w:rFonts w:ascii="Montserrat" w:cs="Montserrat" w:eastAsia="Montserrat" w:hAnsi="Montserrat"/>
          <w:color w:val="595959"/>
          <w:sz w:val="22"/>
          <w:szCs w:val="22"/>
        </w:rPr>
        <w:t xml:space="preserve">Curso: Ética y Responsabilidad Social Universitaria</w:t>
      </w:r>
    </w:p>
    <w:p>
      <w:pPr>
        <w:spacing w:after="1400"/>
      </w:pPr>
    </w:p>
    <w:p>
      <w:pPr>
        <w:spacing w:after="200"/>
      </w:pPr>
      <w:r>
        <w:rPr>
          <w:rFonts w:ascii="Montserrat" w:cs="Montserrat" w:eastAsia="Montserrat" w:hAnsi="Montserrat"/>
          <w:b/>
          <w:bCs/>
          <w:color w:val="1F3864"/>
          <w:sz w:val="44"/>
          <w:szCs w:val="44"/>
        </w:rPr>
        <w:t xml:space="preserve">Declaración de uso de inteligencia artificial</w:t>
      </w:r>
    </w:p>
    <w:p>
      <w:pPr>
        <w:spacing w:after="600"/>
      </w:pPr>
      <w:r>
        <w:rPr>
          <w:rFonts w:ascii="Montserrat" w:cs="Montserrat" w:eastAsia="Montserrat" w:hAnsi="Montserrat"/>
          <w:color w:val="595959"/>
          <w:sz w:val="26"/>
          <w:szCs w:val="26"/>
        </w:rPr>
        <w:t xml:space="preserve">Producto informático Comunidad INF · https://comunidad-inf.vercel.app</w:t>
      </w:r>
    </w:p>
    <w:p>
      <w:pPr>
        <w:pBdr>
          <w:top w:val="single" w:color="1F3864" w:sz="6" w:space="8"/>
        </w:pBdr>
        <w:spacing w:before="200" w:after="200"/>
      </w:pPr>
      <w:r>
        <w:rPr>
          <w:rFonts w:ascii="Montserrat" w:cs="Montserrat" w:eastAsia="Montserrat" w:hAnsi="Montserrat"/>
          <w:b/>
          <w:bCs/>
          <w:color w:val="1F3864"/>
          <w:sz w:val="24"/>
          <w:szCs w:val="24"/>
        </w:rPr>
        <w:t xml:space="preserve">Grupo N.° ___  ·  Horario ______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20"/>
        <w:gridCol w:w="2340"/>
      </w:tblGrid>
      <w:tr>
        <w:trPr>
          <w:tblHeader/>
        </w:trPr>
        <w:tc>
          <w:tcPr>
            <w:tcW w:type="dxa" w:w="702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2"/>
                <w:szCs w:val="22"/>
              </w:rPr>
              <w:t xml:space="preserve">Integrante</w:t>
            </w:r>
          </w:p>
        </w:tc>
        <w:tc>
          <w:tcPr>
            <w:tcW w:type="dxa" w:w="234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2"/>
                <w:szCs w:val="22"/>
              </w:rPr>
              <w:t xml:space="preserve">Código</w:t>
            </w:r>
          </w:p>
        </w:tc>
      </w:tr>
      <w:tr>
        <w:trPr>
          <w:cantSplit/>
        </w:trPr>
        <w:tc>
          <w:tcPr>
            <w:tcW w:type="dxa" w:w="702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Carlos Monge</w:t>
            </w:r>
          </w:p>
        </w:tc>
        <w:tc>
          <w:tcPr>
            <w:tcW w:type="dxa" w:w="234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</w:p>
        </w:tc>
      </w:tr>
      <w:tr>
        <w:trPr>
          <w:cantSplit/>
        </w:trPr>
        <w:tc>
          <w:tcPr>
            <w:tcW w:type="dxa" w:w="702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Alvaro Ferro</w:t>
            </w:r>
          </w:p>
        </w:tc>
        <w:tc>
          <w:tcPr>
            <w:tcW w:type="dxa" w:w="234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</w:p>
        </w:tc>
      </w:tr>
      <w:tr>
        <w:trPr>
          <w:cantSplit/>
        </w:trPr>
        <w:tc>
          <w:tcPr>
            <w:tcW w:type="dxa" w:w="702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Mayerli López</w:t>
            </w:r>
          </w:p>
        </w:tc>
        <w:tc>
          <w:tcPr>
            <w:tcW w:type="dxa" w:w="234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</w:p>
        </w:tc>
      </w:tr>
      <w:tr>
        <w:trPr>
          <w:cantSplit/>
        </w:trPr>
        <w:tc>
          <w:tcPr>
            <w:tcW w:type="dxa" w:w="702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Sebastián O'Brien</w:t>
            </w:r>
          </w:p>
        </w:tc>
        <w:tc>
          <w:tcPr>
            <w:tcW w:type="dxa" w:w="234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</w:p>
        </w:tc>
      </w:tr>
      <w:tr>
        <w:trPr>
          <w:cantSplit/>
        </w:trPr>
        <w:tc>
          <w:tcPr>
            <w:tcW w:type="dxa" w:w="702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Bianca Pulido</w:t>
            </w:r>
          </w:p>
        </w:tc>
        <w:tc>
          <w:tcPr>
            <w:tcW w:type="dxa" w:w="234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</w:p>
        </w:tc>
      </w:tr>
    </w:tbl>
    <w:p>
      <w:pPr>
        <w:spacing w:after="1200"/>
      </w:pPr>
    </w:p>
    <w:p>
      <w:pPr>
        <w:spacing w:after="60"/>
      </w:pPr>
      <w:r>
        <w:rPr>
          <w:rFonts w:ascii="Montserrat" w:cs="Montserrat" w:eastAsia="Montserrat" w:hAnsi="Montserrat"/>
          <w:color w:val="595959"/>
          <w:sz w:val="22"/>
          <w:szCs w:val="22"/>
        </w:rPr>
        <w:t xml:space="preserve">Lima, octubre de 2026</w:t>
      </w:r>
    </w:p>
    <w:p>
      <w:r>
        <w:br w:type="page"/>
      </w:r>
    </w:p>
    <w:p>
      <w:pPr>
        <w:pStyle w:val="Heading1"/>
        <w:keepNext/>
        <w:pBdr>
          <w:top w:val="single" w:color="1F3864" w:sz="6" w:space="8"/>
        </w:pBdr>
        <w:spacing w:before="320" w:after="160"/>
      </w:pPr>
      <w:r>
        <w:rPr>
          <w:rFonts w:ascii="Montserrat" w:cs="Montserrat" w:eastAsia="Montserrat" w:hAnsi="Montserrat"/>
          <w:b/>
          <w:bCs/>
          <w:color w:val="1F3864"/>
          <w:sz w:val="30"/>
          <w:szCs w:val="30"/>
        </w:rPr>
        <w:t xml:space="preserve">Historial de revisiones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4"/>
        <w:gridCol w:w="1352"/>
        <w:gridCol w:w="1040"/>
        <w:gridCol w:w="4680"/>
        <w:gridCol w:w="1664"/>
      </w:tblGrid>
      <w:tr>
        <w:trPr>
          <w:tblHeader/>
        </w:trPr>
        <w:tc>
          <w:tcPr>
            <w:tcW w:type="dxa" w:w="624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2"/>
                <w:szCs w:val="22"/>
              </w:rPr>
              <w:t xml:space="preserve">Ítem</w:t>
            </w:r>
          </w:p>
        </w:tc>
        <w:tc>
          <w:tcPr>
            <w:tcW w:type="dxa" w:w="1352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2"/>
                <w:szCs w:val="22"/>
              </w:rPr>
              <w:t xml:space="preserve">Fecha</w:t>
            </w:r>
          </w:p>
        </w:tc>
        <w:tc>
          <w:tcPr>
            <w:tcW w:type="dxa" w:w="104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2"/>
                <w:szCs w:val="22"/>
              </w:rPr>
              <w:t xml:space="preserve">Versión</w:t>
            </w:r>
          </w:p>
        </w:tc>
        <w:tc>
          <w:tcPr>
            <w:tcW w:type="dxa" w:w="468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2"/>
                <w:szCs w:val="22"/>
              </w:rPr>
              <w:t xml:space="preserve">Descripción</w:t>
            </w:r>
          </w:p>
        </w:tc>
        <w:tc>
          <w:tcPr>
            <w:tcW w:type="dxa" w:w="1664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2"/>
                <w:szCs w:val="22"/>
              </w:rPr>
              <w:t xml:space="preserve">Responsable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b/>
                <w:bCs/>
                <w:color w:val="1A1A1A"/>
                <w:sz w:val="22"/>
                <w:szCs w:val="22"/>
              </w:rPr>
              <w:t xml:space="preserve">1</w:t>
            </w:r>
          </w:p>
        </w:tc>
        <w:tc>
          <w:tcPr>
            <w:tcW w:type="dxa" w:w="1352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27/10/2026</w:t>
            </w:r>
          </w:p>
        </w:tc>
        <w:tc>
          <w:tcPr>
            <w:tcW w:type="dxa" w:w="104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0.1</w:t>
            </w:r>
          </w:p>
        </w:tc>
        <w:tc>
          <w:tcPr>
            <w:tcW w:type="dxa" w:w="468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Borrador generado a partir de IA_LOG.md con asistencia de IA</w:t>
            </w:r>
          </w:p>
        </w:tc>
        <w:tc>
          <w:tcPr>
            <w:tcW w:type="dxa" w:w="1664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Equipo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b/>
                <w:bCs/>
                <w:color w:val="1A1A1A"/>
                <w:sz w:val="22"/>
                <w:szCs w:val="22"/>
              </w:rPr>
              <w:t xml:space="preserve">2</w:t>
            </w:r>
          </w:p>
        </w:tc>
        <w:tc>
          <w:tcPr>
            <w:tcW w:type="dxa" w:w="1352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</w:p>
        </w:tc>
        <w:tc>
          <w:tcPr>
            <w:tcW w:type="dxa" w:w="104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</w:p>
        </w:tc>
        <w:tc>
          <w:tcPr>
            <w:tcW w:type="dxa" w:w="468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[COMPLETAR POR EL EQUIPO: revisión y aprobación]</w:t>
            </w:r>
          </w:p>
        </w:tc>
        <w:tc>
          <w:tcPr>
            <w:tcW w:type="dxa" w:w="1664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</w:p>
        </w:tc>
      </w:tr>
    </w:tbl>
    <w:p>
      <w:pPr>
        <w:spacing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FF0C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b/>
                <w:bCs/>
                <w:color w:val="1A1A1A"/>
                <w:sz w:val="22"/>
                <w:szCs w:val="22"/>
              </w:rPr>
              <w:t xml:space="preserve">Este documento es un borrador.</w:t>
            </w: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 Las partes marcadas en amarillo con [COMPLETAR POR EL EQUIPO] solo las puede llenar el equipo: describen revisiones y decisiones humanas que la IA no puede afirmar. No debe entregarse con esas marcas.</w:t>
            </w:r>
          </w:p>
        </w:tc>
      </w:tr>
    </w:tbl>
    <w:p>
      <w:pPr>
        <w:pStyle w:val="Heading1"/>
        <w:keepNext/>
        <w:pBdr>
          <w:top w:val="single" w:color="1F3864" w:sz="6" w:space="8"/>
        </w:pBdr>
        <w:spacing w:before="320" w:after="160"/>
      </w:pPr>
      <w:r>
        <w:rPr>
          <w:rFonts w:ascii="Montserrat" w:cs="Montserrat" w:eastAsia="Montserrat" w:hAnsi="Montserrat"/>
          <w:b/>
          <w:bCs/>
          <w:color w:val="1F3864"/>
          <w:sz w:val="30"/>
          <w:szCs w:val="30"/>
        </w:rPr>
        <w:t xml:space="preserve">1. Herramientas usadas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44"/>
        <w:gridCol w:w="5616"/>
      </w:tblGrid>
      <w:tr>
        <w:trPr>
          <w:tblHeader/>
        </w:trPr>
        <w:tc>
          <w:tcPr>
            <w:tcW w:type="dxa" w:w="3744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2"/>
                <w:szCs w:val="22"/>
              </w:rPr>
              <w:t xml:space="preserve">Herramienta</w:t>
            </w:r>
          </w:p>
        </w:tc>
        <w:tc>
          <w:tcPr>
            <w:tcW w:type="dxa" w:w="5616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2"/>
                <w:szCs w:val="22"/>
              </w:rPr>
              <w:t xml:space="preserve">Para qué se usó</w:t>
            </w:r>
          </w:p>
        </w:tc>
      </w:tr>
      <w:tr>
        <w:trPr>
          <w:cantSplit/>
        </w:trPr>
        <w:tc>
          <w:tcPr>
            <w:tcW w:type="dxa" w:w="3744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Claude Code (modelo Claude Opus 5.5, app de escritorio de Claude)</w:t>
            </w:r>
          </w:p>
        </w:tc>
        <w:tc>
          <w:tcPr>
            <w:tcW w:type="dxa" w:w="5616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Planificar, escribir el código (frontend, SQL, pruebas, scripts), probar en el navegador integrado y redactar la documentación</w:t>
            </w:r>
          </w:p>
        </w:tc>
      </w:tr>
      <w:tr>
        <w:trPr>
          <w:cantSplit/>
        </w:trPr>
        <w:tc>
          <w:tcPr>
            <w:tcW w:type="dxa" w:w="3744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Skills de diseño de Claude Code: ui-ux-pro-max, design-taste-frontend, impeccable</w:t>
            </w:r>
          </w:p>
        </w:tc>
        <w:tc>
          <w:tcPr>
            <w:tcW w:type="dxa" w:w="5616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Sistema de diseño, accesibilidad (contraste AA), revisión visual automatizada y piso de calidad de la interfaz</w:t>
            </w:r>
          </w:p>
        </w:tc>
      </w:tr>
      <w:tr>
        <w:trPr>
          <w:cantSplit/>
        </w:trPr>
        <w:tc>
          <w:tcPr>
            <w:tcW w:type="dxa" w:w="3744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React Bits (reactbits.dev), como referencia</w:t>
            </w:r>
          </w:p>
        </w:tc>
        <w:tc>
          <w:tcPr>
            <w:tcW w:type="dxa" w:w="5616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Inspiración para CountUp, ClickSpark y PixelCard, reescritos sin dependencias</w:t>
            </w:r>
          </w:p>
        </w:tc>
      </w:tr>
      <w:tr>
        <w:trPr>
          <w:cantSplit/>
        </w:trPr>
        <w:tc>
          <w:tcPr>
            <w:tcW w:type="dxa" w:w="3744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[COMPLETAR POR EL EQUIPO]</w:t>
            </w:r>
          </w:p>
        </w:tc>
        <w:tc>
          <w:tcPr>
            <w:tcW w:type="dxa" w:w="5616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Otras herramientas de IA usadas fuera de Claude Code (informe de exploración, afiches, video), o indicar "ninguna"</w:t>
            </w:r>
          </w:p>
        </w:tc>
      </w:tr>
    </w:tbl>
    <w:p>
      <w:pPr>
        <w:pStyle w:val="Heading1"/>
        <w:keepNext/>
        <w:pBdr>
          <w:top w:val="single" w:color="1F3864" w:sz="6" w:space="8"/>
        </w:pBdr>
        <w:spacing w:before="320" w:after="160"/>
      </w:pPr>
      <w:r>
        <w:rPr>
          <w:rFonts w:ascii="Montserrat" w:cs="Montserrat" w:eastAsia="Montserrat" w:hAnsi="Montserrat"/>
          <w:b/>
          <w:bCs/>
          <w:color w:val="1F3864"/>
          <w:sz w:val="30"/>
          <w:szCs w:val="30"/>
        </w:rPr>
        <w:t xml:space="preserve">2. Para qué se usó en cada fase</w:t>
      </w:r>
    </w:p>
    <w:p>
      <w:pPr>
        <w:spacing w:after="140" w:line="276"/>
        <w:jc w:val="both"/>
      </w:pPr>
      <w:r>
        <w:rPr>
          <w:rFonts w:ascii="Montserrat" w:cs="Montserrat" w:eastAsia="Montserrat" w:hAnsi="Montserrat"/>
          <w:color w:val="1A1A1A"/>
          <w:sz w:val="22"/>
          <w:szCs w:val="22"/>
        </w:rPr>
        <w:t xml:space="preserve">Resumen del registro IA_LOG.md, llenado mientras se desarrollaba. La columna del equipo solo recoge acciones que quedaron registradas en la sesión de trabajo; las revisiones se declaran en la sección 3.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70"/>
        <w:gridCol w:w="4187"/>
        <w:gridCol w:w="3203"/>
      </w:tblGrid>
      <w:tr>
        <w:trPr>
          <w:tblHeader/>
        </w:trPr>
        <w:tc>
          <w:tcPr>
            <w:tcW w:type="dxa" w:w="197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2"/>
                <w:szCs w:val="22"/>
              </w:rPr>
              <w:t xml:space="preserve">Fase</w:t>
            </w:r>
          </w:p>
        </w:tc>
        <w:tc>
          <w:tcPr>
            <w:tcW w:type="dxa" w:w="4187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2"/>
                <w:szCs w:val="22"/>
              </w:rPr>
              <w:t xml:space="preserve">Qué hizo la IA</w:t>
            </w:r>
          </w:p>
        </w:tc>
        <w:tc>
          <w:tcPr>
            <w:tcW w:type="dxa" w:w="3203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1F3864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b/>
                <w:bCs/>
                <w:color w:val="FFFFFF"/>
                <w:sz w:val="22"/>
                <w:szCs w:val="22"/>
              </w:rPr>
              <w:t xml:space="preserve">Qué hizo el equipo (registrado)</w:t>
            </w:r>
          </w:p>
        </w:tc>
      </w:tr>
      <w:tr>
        <w:trPr>
          <w:cantSplit/>
        </w:trPr>
        <w:tc>
          <w:tcPr>
            <w:tcW w:type="dxa" w:w="197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b/>
                <w:bCs/>
                <w:color w:val="1A1A1A"/>
                <w:sz w:val="22"/>
                <w:szCs w:val="22"/>
              </w:rPr>
              <w:t xml:space="preserve">0. Plan</w:t>
            </w:r>
          </w:p>
        </w:tc>
        <w:tc>
          <w:tcPr>
            <w:tcW w:type="dxa" w:w="4187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Leyó la especificación, propuso el plan por fases, listó 19 ambigüedades con la opción más simple y los pasos de Supabase</w:t>
            </w:r>
          </w:p>
        </w:tc>
        <w:tc>
          <w:tcPr>
            <w:tcW w:type="dxa" w:w="3203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Escribió la especificación (CLAUDE.md, docs 01 a 03, prompts) y aprobó el plan</w:t>
            </w:r>
          </w:p>
        </w:tc>
      </w:tr>
      <w:tr>
        <w:trPr>
          <w:cantSplit/>
        </w:trPr>
        <w:tc>
          <w:tcPr>
            <w:tcW w:type="dxa" w:w="197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b/>
                <w:bCs/>
                <w:color w:val="1A1A1A"/>
                <w:sz w:val="22"/>
                <w:szCs w:val="22"/>
              </w:rPr>
              <w:t xml:space="preserve">1. Base de datos</w:t>
            </w:r>
          </w:p>
        </w:tc>
        <w:tc>
          <w:tcPr>
            <w:tcW w:type="dxa" w:w="4187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Esquema SQL, seguridad por filas, funciones con reglas (cupo, equipos, voto único), datos semilla ficticios, capa de datos y pruebas de la regla de puntos; validó el SQL en un PostgreSQL local</w:t>
            </w:r>
          </w:p>
        </w:tc>
        <w:tc>
          <w:tcPr>
            <w:tcW w:type="dxa" w:w="3203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Creó el proyecto en Supabase, entregó la URL y la clave pública y ejecutó las migraciones</w:t>
            </w:r>
          </w:p>
        </w:tc>
      </w:tr>
      <w:tr>
        <w:trPr>
          <w:cantSplit/>
        </w:trPr>
        <w:tc>
          <w:tcPr>
            <w:tcW w:type="dxa" w:w="197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b/>
                <w:bCs/>
                <w:color w:val="1A1A1A"/>
                <w:sz w:val="22"/>
                <w:szCs w:val="22"/>
              </w:rPr>
              <w:t xml:space="preserve">2. Vistas públicas</w:t>
            </w:r>
          </w:p>
        </w:tc>
        <w:tc>
          <w:tcPr>
            <w:tcW w:type="dxa" w:w="4187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Registro sin contraseña, privacidad, encuesta, actividad con 3 modos de inscripción, bolsa y ranking, con las skills de diseño</w:t>
            </w:r>
          </w:p>
        </w:tc>
        <w:tc>
          <w:tcPr>
            <w:tcW w:type="dxa" w:w="3203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Confirmó el contexto de producto (PRODUCT.md) y activó el registro anónimo</w:t>
            </w:r>
          </w:p>
        </w:tc>
      </w:tr>
      <w:tr>
        <w:trPr>
          <w:cantSplit/>
        </w:trPr>
        <w:tc>
          <w:tcPr>
            <w:tcW w:type="dxa" w:w="197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b/>
                <w:bCs/>
                <w:color w:val="1A1A1A"/>
                <w:sz w:val="22"/>
                <w:szCs w:val="22"/>
              </w:rPr>
              <w:t xml:space="preserve">3. Panel del organizador</w:t>
            </w:r>
          </w:p>
        </w:tc>
        <w:tc>
          <w:tcPr>
            <w:tcW w:type="dxa" w:w="4187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Login, protección de /org, CRUD, gestión de actividad, CSV y script de seguridad (14 ataques bloqueados)</w:t>
            </w:r>
          </w:p>
        </w:tc>
        <w:tc>
          <w:tcPr>
            <w:tcW w:type="dxa" w:w="3203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Creó el usuario organizador e inició sesión para las pruebas</w:t>
            </w:r>
          </w:p>
        </w:tc>
      </w:tr>
      <w:tr>
        <w:trPr>
          <w:cantSplit/>
        </w:trPr>
        <w:tc>
          <w:tcPr>
            <w:tcW w:type="dxa" w:w="197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b/>
                <w:bCs/>
                <w:color w:val="1A1A1A"/>
                <w:sz w:val="22"/>
                <w:szCs w:val="22"/>
              </w:rPr>
              <w:t xml:space="preserve">4. Ranking, calendario y resúmenes</w:t>
            </w:r>
          </w:p>
        </w:tc>
        <w:tc>
          <w:tcPr>
            <w:tcW w:type="dxa" w:w="4187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Comparó el ranking SQL con puntos.ts (coinciden), calendario con Compartir por WhatsApp, resúmenes con foto y autorización obligatoria</w:t>
            </w:r>
          </w:p>
        </w:tc>
        <w:tc>
          <w:tcPr>
            <w:tcW w:type="dxa" w:w="3203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Ejecutó la migración de almacenamiento</w:t>
            </w:r>
          </w:p>
        </w:tc>
      </w:tr>
      <w:tr>
        <w:trPr>
          <w:cantSplit/>
        </w:trPr>
        <w:tc>
          <w:tcPr>
            <w:tcW w:type="dxa" w:w="197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b/>
                <w:bCs/>
                <w:color w:val="1A1A1A"/>
                <w:sz w:val="22"/>
                <w:szCs w:val="22"/>
              </w:rPr>
              <w:t xml:space="preserve">Prueba del escenario</w:t>
            </w:r>
          </w:p>
        </w:tc>
        <w:tc>
          <w:tcPr>
            <w:tcW w:type="dxa" w:w="4187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Recorrió los 6 pasos con datos reales, corrigió 2 detalles y limpió los datos de prueba</w:t>
            </w:r>
          </w:p>
        </w:tc>
        <w:tc>
          <w:tcPr>
            <w:tcW w:type="dxa" w:w="3203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Autorizó usar su sesión de organizador y pidió la limpieza</w:t>
            </w:r>
          </w:p>
        </w:tc>
      </w:tr>
      <w:tr>
        <w:trPr>
          <w:cantSplit/>
        </w:trPr>
        <w:tc>
          <w:tcPr>
            <w:tcW w:type="dxa" w:w="197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b/>
                <w:bCs/>
                <w:color w:val="1A1A1A"/>
                <w:sz w:val="22"/>
                <w:szCs w:val="22"/>
              </w:rPr>
              <w:t xml:space="preserve">5. Verificación y despliegue</w:t>
            </w:r>
          </w:p>
        </w:tc>
        <w:tc>
          <w:tcPr>
            <w:tcW w:type="dxa" w:w="4187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Prueba de seguridad ampliada (26 ataques bloqueados), revisión de 23 vistas a 375 px, vercel.json y diagnóstico de la página en blanco</w:t>
            </w:r>
          </w:p>
        </w:tc>
        <w:tc>
          <w:tcPr>
            <w:tcW w:type="dxa" w:w="3203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Creó el repositorio en GitHub, desplegó en Vercel y corrigió las variables de entorno</w:t>
            </w:r>
          </w:p>
        </w:tc>
      </w:tr>
      <w:tr>
        <w:trPr>
          <w:cantSplit/>
        </w:trPr>
        <w:tc>
          <w:tcPr>
            <w:tcW w:type="dxa" w:w="197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b/>
                <w:bCs/>
                <w:color w:val="1A1A1A"/>
                <w:sz w:val="22"/>
                <w:szCs w:val="22"/>
              </w:rPr>
              <w:t xml:space="preserve">Identidad visual</w:t>
            </w:r>
          </w:p>
        </w:tc>
        <w:tc>
          <w:tcPr>
            <w:tcW w:type="dxa" w:w="4187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Paleta verde, logo, Pingüi en dos variantes y componentes inspirados en React Bits</w:t>
            </w:r>
          </w:p>
        </w:tc>
        <w:tc>
          <w:tcPr>
            <w:tcW w:type="dxa" w:w="3203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2F2F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Entregó el afiche y el logo de la AAII como referencia, el diseño de Pingüi y los nombres del equipo</w:t>
            </w:r>
          </w:p>
        </w:tc>
      </w:tr>
      <w:tr>
        <w:trPr>
          <w:cantSplit/>
        </w:trPr>
        <w:tc>
          <w:tcPr>
            <w:tcW w:type="dxa" w:w="197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b/>
                <w:bCs/>
                <w:color w:val="1A1A1A"/>
                <w:sz w:val="22"/>
                <w:szCs w:val="22"/>
              </w:rPr>
              <w:t xml:space="preserve">6. Documentación</w:t>
            </w:r>
          </w:p>
        </w:tc>
        <w:tc>
          <w:tcPr>
            <w:tcW w:type="dxa" w:w="4187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README, documento breve, este borrador y preguntas de defensa, usando también la propuesta de Sebastián O'Brien</w:t>
            </w:r>
          </w:p>
        </w:tc>
        <w:tc>
          <w:tcPr>
            <w:tcW w:type="dxa" w:w="3203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[COMPLETAR POR EL EQUIPO]</w:t>
            </w:r>
          </w:p>
        </w:tc>
      </w:tr>
    </w:tbl>
    <w:p>
      <w:pPr>
        <w:pStyle w:val="Heading1"/>
        <w:keepNext/>
        <w:pBdr>
          <w:top w:val="single" w:color="1F3864" w:sz="6" w:space="8"/>
        </w:pBdr>
        <w:spacing w:before="320" w:after="160"/>
      </w:pPr>
      <w:r>
        <w:rPr>
          <w:rFonts w:ascii="Montserrat" w:cs="Montserrat" w:eastAsia="Montserrat" w:hAnsi="Montserrat"/>
          <w:b/>
          <w:bCs/>
          <w:color w:val="1F3864"/>
          <w:sz w:val="30"/>
          <w:szCs w:val="30"/>
        </w:rPr>
        <w:t xml:space="preserve">3. Qué revisó, cambió o decidió el equipo</w:t>
      </w:r>
    </w:p>
    <w:p>
      <w:pPr>
        <w:spacing w:after="140" w:line="276"/>
        <w:jc w:val="both"/>
      </w:pPr>
      <w:r>
        <w:rPr>
          <w:rFonts w:ascii="Montserrat" w:cs="Montserrat" w:eastAsia="Montserrat" w:hAnsi="Montserrat"/>
          <w:color w:val="1A1A1A"/>
          <w:sz w:val="22"/>
          <w:szCs w:val="22"/>
        </w:rPr>
        <w:t xml:space="preserve">Esta sección es obligatoria y solo la puede escribir el equipo. Para cada punto, registrar con honestidad quién lo hizo y con qué resultado.</w:t>
      </w:r>
    </w:p>
    <w:p>
      <w:pPr>
        <w:pStyle w:val="Heading2"/>
        <w:keepNext/>
        <w:spacing w:before="220" w:after="110"/>
      </w:pPr>
      <w:r>
        <w:rPr>
          <w:rFonts w:ascii="Montserrat" w:cs="Montserrat" w:eastAsia="Montserrat" w:hAnsi="Montserrat"/>
          <w:b/>
          <w:bCs/>
          <w:color w:val="1F3864"/>
          <w:sz w:val="25"/>
          <w:szCs w:val="25"/>
        </w:rPr>
        <w:t xml:space="preserve">3.1 Revisión del código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FF0C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[COMPLETAR POR EL EQUIPO] Qué archivos leyó y puede explicar cada integrante (por ejemplo: supabase/migrations/0002_rls_y_funciones.sql, src/lib/puntos.ts, src/lib/api.ts).</w:t>
            </w:r>
          </w:p>
        </w:tc>
      </w:tr>
    </w:tbl>
    <w:p>
      <w:pPr>
        <w:pStyle w:val="Heading2"/>
        <w:keepNext/>
        <w:spacing w:before="220" w:after="110"/>
      </w:pPr>
      <w:r>
        <w:rPr>
          <w:rFonts w:ascii="Montserrat" w:cs="Montserrat" w:eastAsia="Montserrat" w:hAnsi="Montserrat"/>
          <w:b/>
          <w:bCs/>
          <w:color w:val="1F3864"/>
          <w:sz w:val="25"/>
          <w:szCs w:val="25"/>
        </w:rPr>
        <w:t xml:space="preserve">3.2 Pruebas propias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FF0C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[COMPLETAR POR EL EQUIPO] Quién probó la aplicación desde su celular y con qué resultado; si una persona ajena al grupo la probó.</w:t>
            </w:r>
          </w:p>
        </w:tc>
      </w:tr>
    </w:tbl>
    <w:p>
      <w:pPr>
        <w:pStyle w:val="Heading2"/>
        <w:keepNext/>
        <w:spacing w:before="220" w:after="110"/>
      </w:pPr>
      <w:r>
        <w:rPr>
          <w:rFonts w:ascii="Montserrat" w:cs="Montserrat" w:eastAsia="Montserrat" w:hAnsi="Montserrat"/>
          <w:b/>
          <w:bCs/>
          <w:color w:val="1F3864"/>
          <w:sz w:val="25"/>
          <w:szCs w:val="25"/>
        </w:rPr>
        <w:t xml:space="preserve">3.3 Decisiones humanas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FF0C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[COMPLETAR POR EL EQUIPO] Alcance, paleta y mascota, nombre del producto, qué datos se piden y cuáles no.</w:t>
            </w:r>
          </w:p>
        </w:tc>
      </w:tr>
    </w:tbl>
    <w:p>
      <w:pPr>
        <w:pStyle w:val="Heading2"/>
        <w:keepNext/>
        <w:spacing w:before="220" w:after="110"/>
      </w:pPr>
      <w:r>
        <w:rPr>
          <w:rFonts w:ascii="Montserrat" w:cs="Montserrat" w:eastAsia="Montserrat" w:hAnsi="Montserrat"/>
          <w:b/>
          <w:bCs/>
          <w:color w:val="1F3864"/>
          <w:sz w:val="25"/>
          <w:szCs w:val="25"/>
        </w:rPr>
        <w:t xml:space="preserve">3.4 Cambios hechos a mano y revisión de textos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FF0C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[COMPLETAR POR EL EQUIPO] Cambios manuales sobre lo generado por la IA, si los hubo, y quién revisó los textos de la interfaz, la privacidad y este documento.</w:t>
            </w:r>
          </w:p>
        </w:tc>
      </w:tr>
    </w:tbl>
    <w:p>
      <w:pPr>
        <w:spacing w:after="80"/>
      </w:pPr>
    </w:p>
    <w:p>
      <w:pPr>
        <w:spacing w:after="140" w:line="276"/>
        <w:jc w:val="both"/>
      </w:pPr>
      <w:r>
        <w:rPr>
          <w:rFonts w:ascii="Montserrat" w:cs="Montserrat" w:eastAsia="Montserrat" w:hAnsi="Montserrat"/>
          <w:color w:val="1A1A1A"/>
          <w:sz w:val="22"/>
          <w:szCs w:val="22"/>
        </w:rPr>
        <w:t xml:space="preserve">La columna "Qué revisó o cambió el equipo" del archivo IA_LOG.md también debe quedar completa antes de la entrega.</w:t>
      </w:r>
    </w:p>
    <w:p>
      <w:pPr>
        <w:pStyle w:val="Heading1"/>
        <w:keepNext/>
        <w:pBdr>
          <w:top w:val="single" w:color="1F3864" w:sz="6" w:space="8"/>
        </w:pBdr>
        <w:spacing w:before="320" w:after="160"/>
      </w:pPr>
      <w:r>
        <w:rPr>
          <w:rFonts w:ascii="Montserrat" w:cs="Montserrat" w:eastAsia="Montserrat" w:hAnsi="Montserrat"/>
          <w:b/>
          <w:bCs/>
          <w:color w:val="1F3864"/>
          <w:sz w:val="30"/>
          <w:szCs w:val="30"/>
        </w:rPr>
        <w:t xml:space="preserve">4. Límites y responsabilidad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Montserrat" w:cs="Montserrat" w:eastAsia="Montserrat" w:hAnsi="Montserrat"/>
          <w:color w:val="1A1A1A"/>
          <w:sz w:val="22"/>
          <w:szCs w:val="22"/>
        </w:rPr>
        <w:t xml:space="preserve">La IA escribió la mayor parte del código. El equipo es responsable del producto y debe poder explicar y defender cada parte, como pide el curso.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Montserrat" w:cs="Montserrat" w:eastAsia="Montserrat" w:hAnsi="Montserrat"/>
          <w:color w:val="1A1A1A"/>
          <w:sz w:val="22"/>
          <w:szCs w:val="22"/>
        </w:rPr>
        <w:t xml:space="preserve">Todo lo que la IA afirma haber verificado (pruebas, revisión a 375 px, ataques bloqueados) está registrado en IA_LOG.md con su resultado; lo que no se pudo verificar también está anotado.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Montserrat" w:cs="Montserrat" w:eastAsia="Montserrat" w:hAnsi="Montserrat"/>
          <w:color w:val="1A1A1A"/>
          <w:sz w:val="22"/>
          <w:szCs w:val="22"/>
        </w:rPr>
        <w:t xml:space="preserve">Los datos de la demo son ficticios. No se usaron datos personales reales para trabajar con la IA.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rFonts w:ascii="Montserrat" w:cs="Montserrat" w:eastAsia="Montserrat" w:hAnsi="Montserrat"/>
          <w:color w:val="1A1A1A"/>
          <w:sz w:val="22"/>
          <w:szCs w:val="22"/>
        </w:rPr>
        <w:t xml:space="preserve">No se usó la IA para publicar imágenes de personas reales.</w:t>
      </w:r>
    </w:p>
    <w:p>
      <w:pPr>
        <w:spacing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0D0D0" w:sz="2"/>
              <w:left w:val="single" w:color="D0D0D0" w:sz="2"/>
              <w:bottom w:val="single" w:color="D0D0D0" w:sz="2"/>
              <w:right w:val="single" w:color="D0D0D0" w:sz="2"/>
            </w:tcBorders>
            <w:shd w:fill="FFF0C2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52"/>
            </w:pPr>
            <w:r>
              <w:rPr>
                <w:rFonts w:ascii="Montserrat" w:cs="Montserrat" w:eastAsia="Montserrat" w:hAnsi="Montserrat"/>
                <w:color w:val="1A1A1A"/>
                <w:sz w:val="22"/>
                <w:szCs w:val="22"/>
              </w:rPr>
              <w:t xml:space="preserve">[COMPLETAR POR EL EQUIPO] Fecha y nombres de quienes aprueban esta declaración.</w:t>
            </w:r>
          </w:p>
        </w:tc>
      </w:tr>
    </w:tbl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080" w:right="1273" w:bottom="1080" w:left="1273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ontserrat" w:cs="Montserrat" w:eastAsia="Montserrat" w:hAnsi="Montserrat"/>
        <w:color w:val="595959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ontserrat" w:cs="Montserrat" w:eastAsia="Montserrat" w:hAnsi="Montserrat"/>
        <w:color w:val="595959"/>
        <w:sz w:val="22"/>
        <w:szCs w:val="22"/>
      </w:rPr>
      <w:t xml:space="preserve">Declaración de uso de IA · Ética y RSU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ontserrat" w:cs="Montserrat" w:eastAsia="Montserrat" w:hAnsi="Montserrat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Montserrat" w:cs="Montserrat" w:eastAsia="Montserrat" w:hAnsi="Montserrat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ontserrat" w:cs="Montserrat" w:eastAsia="Montserrat" w:hAnsi="Montserrat"/>
      <w:b/>
      <w:bCs/>
      <w:color w:val="1F3864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Equipo Comunidad INF</dc:creator>
  <cp:lastModifiedBy>Un-named</cp:lastModifiedBy>
  <cp:revision>1</cp:revision>
  <dcterms:created xsi:type="dcterms:W3CDTF">2026-10-27T21:11:57.671Z</dcterms:created>
  <dcterms:modified xsi:type="dcterms:W3CDTF">2026-10-27T21:11:57.674Z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