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Kicker"/>
        <w:spacing w:before="360" w:after="80" w:line="264" w:lineRule="auto"/>
        <w:widowControl/>
      </w:pPr>
      <w:r>
        <w:rPr>
          <w:rFonts w:ascii="Calibri" w:hAnsi="Calibri"/>
          <w:color w:val="000000"/>
          <w:sz w:val="22"/>
        </w:rPr>
        <w:t xml:space="preserve">AUDITORIA TECNICA</w:t>
      </w:r>
    </w:p>
    <w:p>
      <w:pPr>
        <w:pStyle w:val="Title"/>
        <w:spacing w:before="0" w:after="100" w:line="264" w:lineRule="auto"/>
        <w:widowControl/>
      </w:pPr>
      <w:r>
        <w:rPr>
          <w:rFonts w:ascii="Calibri" w:hAnsi="Calibri"/>
          <w:color w:val="000000"/>
          <w:sz w:val="22"/>
        </w:rPr>
        <w:t xml:space="preserve">Auditoria AEO y de preparacion para agentes de IA</w:t>
      </w:r>
    </w:p>
    <w:p>
      <w:pPr>
        <w:pStyle w:val="Subtitle"/>
        <w:spacing w:before="0" w:after="320" w:line="264" w:lineRule="auto"/>
        <w:widowControl/>
      </w:pPr>
      <w:r>
        <w:rPr>
          <w:rFonts w:ascii="Calibri" w:hAnsi="Calibri"/>
          <w:color w:val="000000"/>
          <w:sz w:val="22"/>
        </w:rPr>
        <w:t xml:space="preserve">Observatorio Regional de Planificacion para el Desarrollo de America Latina y el Caribe</w:t>
      </w:r>
    </w:p>
    <w:p>
      <w:pPr>
        <w:pStyle w:val="Normal"/>
        <w:spacing w:before="0" w:after="60" w:line="264" w:lineRule="auto"/>
        <w:widowControl/>
      </w:pPr>
      <w:r>
        <w:rPr>
          <w:rFonts w:ascii="Calibri" w:hAnsi="Calibri"/>
          <w:color w:val="000000"/>
          <w:sz w:val="22"/>
        </w:rPr>
        <w:t xml:space="preserve">Sitio: observatorioplanificacion.cepal.org</w:t>
      </w:r>
    </w:p>
    <w:p>
      <w:pPr>
        <w:pStyle w:val="Normal"/>
        <w:spacing w:before="0" w:after="60" w:line="264" w:lineRule="auto"/>
        <w:widowControl/>
      </w:pPr>
      <w:r>
        <w:rPr>
          <w:rFonts w:ascii="Calibri" w:hAnsi="Calibri"/>
          <w:color w:val="000000"/>
          <w:sz w:val="22"/>
        </w:rPr>
        <w:t xml:space="preserve">Organizacion: Comision Economica para America Latina y el Caribe (CEPAL)</w:t>
      </w:r>
    </w:p>
    <w:p>
      <w:pPr>
        <w:pStyle w:val="Normal"/>
        <w:spacing w:before="0" w:after="60" w:line="264" w:lineRule="auto"/>
        <w:widowControl/>
      </w:pPr>
      <w:r>
        <w:rPr>
          <w:rFonts w:ascii="Calibri" w:hAnsi="Calibri"/>
          <w:color w:val="000000"/>
          <w:sz w:val="22"/>
        </w:rPr>
        <w:t xml:space="preserve">Fecha: 20 de agosto de 2026</w:t>
      </w:r>
    </w:p>
    <w:p>
      <w:pPr>
        <w:pStyle w:val="Normal"/>
        <w:spacing w:before="0" w:after="240" w:line="264" w:lineRule="auto"/>
        <w:widowControl/>
      </w:pPr>
      <w:r>
        <w:rPr>
          <w:rFonts w:ascii="Calibri" w:hAnsi="Calibri"/>
          <w:color w:val="000000"/>
          <w:sz w:val="22"/>
        </w:rPr>
        <w:t xml:space="preserve">Estado: informe vigente; sustituye la evaluacion anterior</w:t>
      </w:r>
    </w:p>
    <w:p>
      <w:pPr>
        <w:pStyle w:val="Score"/>
        <w:spacing w:before="120" w:after="160" w:line="264" w:lineRule="auto"/>
        <w:widowControl/>
        <w:shd w:val="clear" w:fill="FCEBEB"/>
        <w:ind w:left="160"/>
      </w:pPr>
      <w:r>
        <w:rPr>
          <w:rFonts w:ascii="Calibri" w:hAnsi="Calibri"/>
          <w:color w:val="000000"/>
          <w:sz w:val="22"/>
        </w:rPr>
        <w:t xml:space="preserve">23/100 - NO PREPARADO</w:t>
      </w:r>
    </w:p>
    <w:p>
      <w:pPr>
        <w:pStyle w:val="Quote"/>
        <w:spacing w:before="80" w:after="160" w:line="264" w:lineRule="auto"/>
        <w:widowControl/>
        <w:shd w:val="clear" w:fill="F4F6F9"/>
        <w:ind w:left="200" w:right="200"/>
      </w:pPr>
      <w:r>
        <w:rPr>
          <w:rFonts w:ascii="Calibri" w:hAnsi="Calibri"/>
          <w:color w:val="000000"/>
          <w:sz w:val="22"/>
        </w:rPr>
        <w:t xml:space="preserve">Este informe incorpora shells HTML, JavaScript, filtros, fichas por seleccion, API Kobo, estados HTTP y recuperacion por agentes.</w:t>
      </w:r>
    </w:p>
    <w:p>
      <w:r>
        <w:br w:type="page"/>
      </w:r>
    </w:p>
    <w:p>
      <w:pPr>
        <w:pStyle w:val="Heading1"/>
        <w:spacing w:before="320" w:after="160" w:line="264" w:lineRule="auto"/>
        <w:widowControl/>
      </w:pPr>
      <w:r>
        <w:rPr>
          <w:rFonts w:ascii="Calibri" w:hAnsi="Calibri"/>
          <w:color w:val="000000"/>
          <w:sz w:val="22"/>
        </w:rPr>
        <w:t xml:space="preserve">1. Resumen ejecutivo</w:t>
      </w:r>
    </w:p>
    <w:p>
      <w:pPr>
        <w:pStyle w:val="Normal"/>
        <w:spacing w:before="0" w:after="120" w:line="264" w:lineRule="auto"/>
        <w:widowControl/>
      </w:pPr>
      <w:r>
        <w:rPr>
          <w:rFonts w:ascii="Calibri" w:hAnsi="Calibri"/>
          <w:color w:val="000000"/>
          <w:sz w:val="22"/>
        </w:rPr>
        <w:t xml:space="preserve">El Observatorio contiene información pública de gran valor y dispone de una API JSON accesible, pero la implementación vigente no entrega el contenido esencial en el HTML inicial. La portada, las páginas temáticas y los módulos de planes, instituciones, marcos normativos, metodologías y sistemas llegan al cliente como shells HTML casi vacías. JavaScript carga fragmentos adicionales, consulta una API Kobo y recién entonces construye listados, filtros y fichas.</w:t>
      </w:r>
    </w:p>
    <w:p>
      <w:pPr>
        <w:pStyle w:val="Normal"/>
        <w:spacing w:before="0" w:after="120" w:line="264" w:lineRule="auto"/>
        <w:widowControl/>
      </w:pPr>
      <w:r>
        <w:rPr>
          <w:rFonts w:ascii="Calibri" w:hAnsi="Calibri"/>
          <w:color w:val="000000"/>
          <w:sz w:val="22"/>
        </w:rPr>
        <w:t xml:space="preserve">Este patrón afecta directamente la preparación AEO y para agentes:</w:t>
      </w:r>
    </w:p>
    <w:p>
      <w:pPr>
        <w:pStyle w:val="Normal"/>
        <w:spacing w:before="0" w:after="160" w:line="264" w:lineRule="auto"/>
        <w:widowControl/>
        <w:numPr>
          <w:ilvl w:val="0"/>
          <w:numId w:val="1"/>
        </w:numPr>
        <w:ind w:left="720" w:hanging="360"/>
      </w:pPr>
      <w:r>
        <w:rPr>
          <w:rFonts w:ascii="Calibri" w:hAnsi="Calibri"/>
          <w:color w:val="000000"/>
          <w:sz w:val="22"/>
        </w:rPr>
        <w:t xml:space="preserve">Un agente que no ejecute JavaScript recibe contenedores vacíos, un título genérico y ningún contenido principal.</w:t>
      </w:r>
    </w:p>
    <w:p>
      <w:pPr>
        <w:pStyle w:val="Normal"/>
        <w:spacing w:before="0" w:after="160" w:line="264" w:lineRule="auto"/>
        <w:widowControl/>
        <w:numPr>
          <w:ilvl w:val="0"/>
          <w:numId w:val="1"/>
        </w:numPr>
        <w:ind w:left="720" w:hanging="360"/>
      </w:pPr>
      <w:r>
        <w:rPr>
          <w:rFonts w:ascii="Calibri" w:hAnsi="Calibri"/>
          <w:color w:val="000000"/>
          <w:sz w:val="22"/>
        </w:rPr>
        <w:t xml:space="preserve">Las selecciones hechas por el usuario se conservan principalmente en un campo oculto del navegador y no generan una URL completa, estable y reproducible.</w:t>
      </w:r>
    </w:p>
    <w:p>
      <w:pPr>
        <w:pStyle w:val="Normal"/>
        <w:spacing w:before="0" w:after="160" w:line="264" w:lineRule="auto"/>
        <w:widowControl/>
        <w:numPr>
          <w:ilvl w:val="0"/>
          <w:numId w:val="1"/>
        </w:numPr>
        <w:ind w:left="720" w:hanging="360"/>
      </w:pPr>
      <w:r>
        <w:rPr>
          <w:rFonts w:ascii="Calibri" w:hAnsi="Calibri"/>
          <w:color w:val="000000"/>
          <w:sz w:val="22"/>
        </w:rPr>
        <w:t xml:space="preserve">Las fichas pueden añadir ?id=&lt;identificador&gt; al historial, pero el HTML inicial de esa URL sigue siendo genérico y vacío.</w:t>
      </w:r>
    </w:p>
    <w:p>
      <w:pPr>
        <w:pStyle w:val="Normal"/>
        <w:spacing w:before="0" w:after="160" w:line="264" w:lineRule="auto"/>
        <w:widowControl/>
        <w:numPr>
          <w:ilvl w:val="0"/>
          <w:numId w:val="1"/>
        </w:numPr>
        <w:ind w:left="720" w:hanging="360"/>
      </w:pPr>
      <w:r>
        <w:rPr>
          <w:rFonts w:ascii="Calibri" w:hAnsi="Calibri"/>
          <w:color w:val="000000"/>
          <w:sz w:val="22"/>
        </w:rPr>
        <w:t xml:space="preserve">La API completa responde, pero las consultas con parámetros de filtro —incluida la consulta de registros aprobados usada por la interfaz— devolvieron 502 Bad Gateway durante la auditoría.</w:t>
      </w:r>
    </w:p>
    <w:p>
      <w:pPr>
        <w:pStyle w:val="Normal"/>
        <w:spacing w:before="0" w:after="160" w:line="264" w:lineRule="auto"/>
        <w:widowControl/>
        <w:numPr>
          <w:ilvl w:val="0"/>
          <w:numId w:val="1"/>
        </w:numPr>
        <w:ind w:left="720" w:hanging="360"/>
      </w:pPr>
      <w:r>
        <w:rPr>
          <w:rFonts w:ascii="Calibri" w:hAnsi="Calibri"/>
          <w:color w:val="000000"/>
          <w:sz w:val="22"/>
        </w:rPr>
        <w:t xml:space="preserve">No existen en las rutas convencionales robots.txt, sitemaps, llms.txt, OpenAPI ni documentación de API.</w:t>
      </w:r>
    </w:p>
    <w:p>
      <w:pPr>
        <w:pStyle w:val="Normal"/>
        <w:spacing w:before="0" w:after="160" w:line="264" w:lineRule="auto"/>
        <w:widowControl/>
        <w:numPr>
          <w:ilvl w:val="0"/>
          <w:numId w:val="1"/>
        </w:numPr>
        <w:ind w:left="720" w:hanging="360"/>
      </w:pPr>
      <w:r>
        <w:rPr>
          <w:rFonts w:ascii="Calibri" w:hAnsi="Calibri"/>
          <w:color w:val="000000"/>
          <w:sz w:val="22"/>
        </w:rPr>
        <w:t xml:space="preserve">No se detectó JSON-LD en las páginas iniciales ni en los fragmentos examinados; tampoco hay descripciones meta, canónicos o encabezados H1 en las shells principales.</w:t>
      </w:r>
    </w:p>
    <w:p>
      <w:pPr>
        <w:pStyle w:val="Normal"/>
        <w:spacing w:before="0" w:after="120" w:line="264" w:lineRule="auto"/>
        <w:widowControl/>
      </w:pPr>
      <w:r>
        <w:rPr>
          <w:rFonts w:ascii="Calibri" w:hAnsi="Calibri"/>
          <w:color w:val="000000"/>
          <w:sz w:val="22"/>
        </w:rPr>
        <w:t xml:space="preserve">La consecuencia es clara: el contenido dinámico sí cambia el diagnóstico. Aunque una persona con un navegador compatible puede interactuar con la interfaz cuando todos los componentes funcionan, un crawler o agente debe reconstruir una aplicación cliente, descubrir endpoints no documentados, reproducir filtros internos y tolerar fallas de API. Eso no constituye una fuente robusta, citable ni autónomamente utilizable.</w:t>
      </w:r>
    </w:p>
    <w:p>
      <w:pPr>
        <w:pStyle w:val="Heading2"/>
        <w:spacing w:before="240" w:after="120" w:line="264" w:lineRule="auto"/>
        <w:widowControl/>
      </w:pPr>
      <w:r>
        <w:rPr>
          <w:rFonts w:ascii="Calibri" w:hAnsi="Calibri"/>
          <w:color w:val="000000"/>
          <w:sz w:val="22"/>
        </w:rPr>
        <w:t xml:space="preserve">Fortalezas</w:t>
      </w:r>
    </w:p>
    <w:p>
      <w:pPr>
        <w:pStyle w:val="Normal"/>
        <w:spacing w:before="0" w:after="160" w:line="264" w:lineRule="auto"/>
        <w:widowControl/>
        <w:numPr>
          <w:ilvl w:val="0"/>
          <w:numId w:val="1"/>
        </w:numPr>
        <w:ind w:left="720" w:hanging="360"/>
      </w:pPr>
      <w:r>
        <w:rPr>
          <w:rFonts w:ascii="Calibri" w:hAnsi="Calibri"/>
          <w:color w:val="000000"/>
          <w:sz w:val="22"/>
        </w:rPr>
        <w:t xml:space="preserve">Autoridad institucional de CEPAL/Naciones Unidas.</w:t>
      </w:r>
    </w:p>
    <w:p>
      <w:pPr>
        <w:pStyle w:val="Normal"/>
        <w:spacing w:before="0" w:after="160" w:line="264" w:lineRule="auto"/>
        <w:widowControl/>
        <w:numPr>
          <w:ilvl w:val="0"/>
          <w:numId w:val="1"/>
        </w:numPr>
        <w:ind w:left="720" w:hanging="360"/>
      </w:pPr>
      <w:r>
        <w:rPr>
          <w:rFonts w:ascii="Calibri" w:hAnsi="Calibri"/>
          <w:color w:val="000000"/>
          <w:sz w:val="22"/>
        </w:rPr>
        <w:t xml:space="preserve">Cobertura regional y taxonomías útiles de país, tema, tipo de instrumento, escala, temporalidad y vigencia.</w:t>
      </w:r>
    </w:p>
    <w:p>
      <w:pPr>
        <w:pStyle w:val="Normal"/>
        <w:spacing w:before="0" w:after="160" w:line="264" w:lineRule="auto"/>
        <w:widowControl/>
        <w:numPr>
          <w:ilvl w:val="0"/>
          <w:numId w:val="1"/>
        </w:numPr>
        <w:ind w:left="720" w:hanging="360"/>
      </w:pPr>
      <w:r>
        <w:rPr>
          <w:rFonts w:ascii="Calibri" w:hAnsi="Calibri"/>
          <w:color w:val="000000"/>
          <w:sz w:val="22"/>
        </w:rPr>
        <w:t xml:space="preserve">API JSON pública con CORS abierto para la colección completa.</w:t>
      </w:r>
    </w:p>
    <w:p>
      <w:pPr>
        <w:pStyle w:val="Normal"/>
        <w:spacing w:before="0" w:after="160" w:line="264" w:lineRule="auto"/>
        <w:widowControl/>
        <w:numPr>
          <w:ilvl w:val="0"/>
          <w:numId w:val="1"/>
        </w:numPr>
        <w:ind w:left="720" w:hanging="360"/>
      </w:pPr>
      <w:r>
        <w:rPr>
          <w:rFonts w:ascii="Calibri" w:hAnsi="Calibri"/>
          <w:color w:val="000000"/>
          <w:sz w:val="22"/>
        </w:rPr>
        <w:t xml:space="preserve">Identificadores de registros y enlaces directos a documentos fuente.</w:t>
      </w:r>
    </w:p>
    <w:p>
      <w:pPr>
        <w:pStyle w:val="Normal"/>
        <w:spacing w:before="0" w:after="160" w:line="264" w:lineRule="auto"/>
        <w:widowControl/>
        <w:numPr>
          <w:ilvl w:val="0"/>
          <w:numId w:val="1"/>
        </w:numPr>
        <w:ind w:left="720" w:hanging="360"/>
      </w:pPr>
      <w:r>
        <w:rPr>
          <w:rFonts w:ascii="Calibri" w:hAnsi="Calibri"/>
          <w:color w:val="000000"/>
          <w:sz w:val="22"/>
        </w:rPr>
        <w:t xml:space="preserve">Fichas de detalle que pueden representarse mediante el parámetro id cuando JavaScript y la API funcionan.</w:t>
      </w:r>
    </w:p>
    <w:p>
      <w:pPr>
        <w:pStyle w:val="Normal"/>
        <w:spacing w:before="0" w:after="160" w:line="264" w:lineRule="auto"/>
        <w:widowControl/>
        <w:numPr>
          <w:ilvl w:val="0"/>
          <w:numId w:val="1"/>
        </w:numPr>
        <w:ind w:left="720" w:hanging="360"/>
      </w:pPr>
      <w:r>
        <w:rPr>
          <w:rFonts w:ascii="Calibri" w:hAnsi="Calibri"/>
          <w:color w:val="000000"/>
          <w:sz w:val="22"/>
        </w:rPr>
        <w:t xml:space="preserve">Algunos controles personalizados incorporan atributos ARIA apropiados.</w:t>
      </w:r>
    </w:p>
    <w:p>
      <w:pPr>
        <w:pStyle w:val="Heading2"/>
        <w:spacing w:before="240" w:after="120" w:line="264" w:lineRule="auto"/>
        <w:widowControl/>
      </w:pPr>
      <w:r>
        <w:rPr>
          <w:rFonts w:ascii="Calibri" w:hAnsi="Calibri"/>
          <w:color w:val="000000"/>
          <w:sz w:val="22"/>
        </w:rPr>
        <w:t xml:space="preserve">Riesgos críticos</w:t>
      </w:r>
    </w:p>
    <w:p>
      <w:pPr>
        <w:pStyle w:val="Normal"/>
        <w:spacing w:before="0" w:after="160" w:line="264" w:lineRule="auto"/>
        <w:widowControl/>
        <w:numPr>
          <w:ilvl w:val="0"/>
          <w:numId w:val="1"/>
        </w:numPr>
        <w:ind w:left="720" w:hanging="360"/>
      </w:pPr>
      <w:r>
        <w:rPr>
          <w:rFonts w:ascii="Calibri" w:hAnsi="Calibri"/>
          <w:color w:val="000000"/>
          <w:sz w:val="22"/>
        </w:rPr>
        <w:t xml:space="preserve">Contenido esencial ausente del HTML inicial.</w:t>
      </w:r>
    </w:p>
    <w:p>
      <w:pPr>
        <w:pStyle w:val="Normal"/>
        <w:spacing w:before="0" w:after="160" w:line="264" w:lineRule="auto"/>
        <w:widowControl/>
        <w:numPr>
          <w:ilvl w:val="0"/>
          <w:numId w:val="1"/>
        </w:numPr>
        <w:ind w:left="720" w:hanging="360"/>
      </w:pPr>
      <w:r>
        <w:rPr>
          <w:rFonts w:ascii="Calibri" w:hAnsi="Calibri"/>
          <w:color w:val="000000"/>
          <w:sz w:val="22"/>
        </w:rPr>
        <w:t xml:space="preserve">Consultas filtradas de la API con error 502 en la fecha de prueba.</w:t>
      </w:r>
    </w:p>
    <w:p>
      <w:pPr>
        <w:pStyle w:val="Normal"/>
        <w:spacing w:before="0" w:after="160" w:line="264" w:lineRule="auto"/>
        <w:widowControl/>
        <w:numPr>
          <w:ilvl w:val="0"/>
          <w:numId w:val="1"/>
        </w:numPr>
        <w:ind w:left="720" w:hanging="360"/>
      </w:pPr>
      <w:r>
        <w:rPr>
          <w:rFonts w:ascii="Calibri" w:hAnsi="Calibri"/>
          <w:color w:val="000000"/>
          <w:sz w:val="22"/>
        </w:rPr>
        <w:t xml:space="preserve">Estados de filtro no reproducibles mediante URL.</w:t>
      </w:r>
    </w:p>
    <w:p>
      <w:pPr>
        <w:pStyle w:val="Normal"/>
        <w:spacing w:before="0" w:after="160" w:line="264" w:lineRule="auto"/>
        <w:widowControl/>
        <w:numPr>
          <w:ilvl w:val="0"/>
          <w:numId w:val="1"/>
        </w:numPr>
        <w:ind w:left="720" w:hanging="360"/>
      </w:pPr>
      <w:r>
        <w:rPr>
          <w:rFonts w:ascii="Calibri" w:hAnsi="Calibri"/>
          <w:color w:val="000000"/>
          <w:sz w:val="22"/>
        </w:rPr>
        <w:t xml:space="preserve">Descubrimiento técnico deficiente: sin sitemap ni enlaces HTML iniciales hacia las entidades.</w:t>
      </w:r>
    </w:p>
    <w:p>
      <w:pPr>
        <w:pStyle w:val="Normal"/>
        <w:spacing w:before="0" w:after="160" w:line="264" w:lineRule="auto"/>
        <w:widowControl/>
        <w:numPr>
          <w:ilvl w:val="0"/>
          <w:numId w:val="1"/>
        </w:numPr>
        <w:ind w:left="720" w:hanging="360"/>
      </w:pPr>
      <w:r>
        <w:rPr>
          <w:rFonts w:ascii="Calibri" w:hAnsi="Calibri"/>
          <w:color w:val="000000"/>
          <w:sz w:val="22"/>
        </w:rPr>
        <w:t xml:space="preserve">API sin documentación ni contrato OpenAPI; respuesta completa incluye estados no aprobados y campos internos.</w:t>
      </w:r>
    </w:p>
    <w:p>
      <w:pPr>
        <w:pStyle w:val="Normal"/>
        <w:spacing w:before="0" w:after="160" w:line="264" w:lineRule="auto"/>
        <w:widowControl/>
        <w:numPr>
          <w:ilvl w:val="0"/>
          <w:numId w:val="1"/>
        </w:numPr>
        <w:ind w:left="720" w:hanging="360"/>
      </w:pPr>
      <w:r>
        <w:rPr>
          <w:rFonts w:ascii="Calibri" w:hAnsi="Calibri"/>
          <w:color w:val="000000"/>
          <w:sz w:val="22"/>
        </w:rPr>
        <w:t xml:space="preserve">Sin datos estructurados ni metadatos de página suficientes para que un motor identifique, cite y desambigüe entidades.</w:t>
      </w:r>
    </w:p>
    <w:p>
      <w:pPr>
        <w:pStyle w:val="Heading1"/>
        <w:spacing w:before="320" w:after="160" w:line="264" w:lineRule="auto"/>
        <w:widowControl/>
      </w:pPr>
      <w:r>
        <w:rPr>
          <w:rFonts w:ascii="Calibri" w:hAnsi="Calibri"/>
          <w:color w:val="000000"/>
          <w:sz w:val="22"/>
        </w:rPr>
        <w:t xml:space="preserve">2. Puntaje de preparación AEO y para agentes</w:t>
      </w:r>
    </w:p>
    <w:p>
      <w:pPr>
        <w:pStyle w:val="Normal"/>
        <w:spacing w:before="0" w:after="120" w:line="264" w:lineRule="auto"/>
        <w:widowControl/>
      </w:pPr>
      <w:r>
        <w:rPr>
          <w:rFonts w:ascii="Calibri" w:hAnsi="Calibri"/>
          <w:color w:val="000000"/>
          <w:sz w:val="22"/>
        </w:rPr>
        <w:t xml:space="preserve">La evaluación utiliza las seis dimensiones y pesos definidos por el skill aeo-agent-readiness-auditor.</w:t>
      </w:r>
    </w:p>
    <w:tbl>
      <w:tblPr>
        <w:tblW w:w="9360" w:type="dxa"/>
        <w:tblInd w:w="120" w:type="dxa"/>
        <w:tblLayout w:type="fixed"/>
        <w:tblBorders>
          <w:top w:val="single" w:sz="4" w:color="B7C3D0"/>
          <w:left w:val="single" w:sz="4" w:color="B7C3D0"/>
          <w:bottom w:val="single" w:sz="4" w:color="B7C3D0"/>
          <w:right w:val="single" w:sz="4" w:color="B7C3D0"/>
          <w:insideH w:val="single" w:sz="4" w:color="D4DAE1"/>
          <w:insideV w:val="single" w:sz="4" w:color="D4DAE1"/>
        </w:tblBorders>
      </w:tblPr>
      <w:tblGrid>
        <w:gridCol w:w="2500"/>
        <w:gridCol w:w="960"/>
        <w:gridCol w:w="1300"/>
        <w:gridCol w:w="4600"/>
      </w:tblGrid>
      <w:tr>
        <w:trPr>
          <w:cantSplit/>
          <w:tblHeader/>
        </w:trPr>
        <w:tc>
          <w:tcPr>
            <w:tcW w:w="2500" w:type="dxa"/>
            <w:shd w:val="clear" w:fill="F2F4F7"/>
          </w:tcPr>
          <w:p>
            <w:r>
              <w:rPr>
                <w:rFonts w:ascii="Calibri" w:hAnsi="Calibri"/>
                <w:b/>
                <w:color w:val="000000"/>
                <w:sz w:val="19"/>
              </w:rPr>
              <w:t xml:space="preserve">Dimensión</w:t>
            </w:r>
          </w:p>
        </w:tc>
        <w:tc>
          <w:tcPr>
            <w:tcW w:w="960" w:type="dxa"/>
            <w:shd w:val="clear" w:fill="F2F4F7"/>
          </w:tcPr>
          <w:p>
            <w:r>
              <w:rPr>
                <w:rFonts w:ascii="Calibri" w:hAnsi="Calibri"/>
                <w:b/>
                <w:color w:val="000000"/>
                <w:sz w:val="19"/>
              </w:rPr>
              <w:t xml:space="preserve">Peso</w:t>
            </w:r>
          </w:p>
        </w:tc>
        <w:tc>
          <w:tcPr>
            <w:tcW w:w="1300" w:type="dxa"/>
            <w:shd w:val="clear" w:fill="F2F4F7"/>
          </w:tcPr>
          <w:p>
            <w:r>
              <w:rPr>
                <w:rFonts w:ascii="Calibri" w:hAnsi="Calibri"/>
                <w:b/>
                <w:color w:val="000000"/>
                <w:sz w:val="19"/>
              </w:rPr>
              <w:t xml:space="preserve">Puntaje</w:t>
            </w:r>
          </w:p>
        </w:tc>
        <w:tc>
          <w:tcPr>
            <w:tcW w:w="4600" w:type="dxa"/>
            <w:shd w:val="clear" w:fill="F2F4F7"/>
          </w:tcPr>
          <w:p>
            <w:r>
              <w:rPr>
                <w:rFonts w:ascii="Calibri" w:hAnsi="Calibri"/>
                <w:b/>
                <w:color w:val="000000"/>
                <w:sz w:val="19"/>
              </w:rPr>
              <w:t xml:space="preserve">Fundamento resumido</w:t>
            </w:r>
          </w:p>
        </w:tc>
      </w:tr>
      <w:tr>
        <w:trPr>
          <w:cantSplit/>
        </w:trPr>
        <w:tc>
          <w:tcPr>
            <w:tcW w:w="2500" w:type="dxa"/>
          </w:tcPr>
          <w:p>
            <w:r>
              <w:rPr>
                <w:rFonts w:ascii="Calibri" w:hAnsi="Calibri"/>
                <w:color w:val="000000"/>
                <w:sz w:val="19"/>
              </w:rPr>
              <w:t xml:space="preserve">Acceso y gobernanza de bots</w:t>
            </w:r>
          </w:p>
        </w:tc>
        <w:tc>
          <w:tcPr>
            <w:tcW w:w="960" w:type="dxa"/>
          </w:tcPr>
          <w:p>
            <w:r>
              <w:rPr>
                <w:rFonts w:ascii="Calibri" w:hAnsi="Calibri"/>
                <w:color w:val="000000"/>
                <w:sz w:val="19"/>
              </w:rPr>
              <w:t xml:space="preserve">10</w:t>
            </w:r>
          </w:p>
        </w:tc>
        <w:tc>
          <w:tcPr>
            <w:tcW w:w="1300" w:type="dxa"/>
          </w:tcPr>
          <w:p>
            <w:r>
              <w:rPr>
                <w:rFonts w:ascii="Calibri" w:hAnsi="Calibri"/>
                <w:color w:val="000000"/>
                <w:sz w:val="19"/>
              </w:rPr>
              <w:t xml:space="preserve">3</w:t>
            </w:r>
          </w:p>
        </w:tc>
        <w:tc>
          <w:tcPr>
            <w:tcW w:w="4600" w:type="dxa"/>
          </w:tcPr>
          <w:p>
            <w:r>
              <w:rPr>
                <w:rFonts w:ascii="Calibri" w:hAnsi="Calibri"/>
                <w:color w:val="000000"/>
                <w:sz w:val="19"/>
              </w:rPr>
              <w:t xml:space="preserve">robots.txt no existe, por lo que no se publicó una prohibición, pero tampoco hay política explícita para crawlers generales o de IA.</w:t>
            </w:r>
          </w:p>
        </w:tc>
      </w:tr>
      <w:tr>
        <w:trPr>
          <w:cantSplit/>
        </w:trPr>
        <w:tc>
          <w:tcPr>
            <w:tcW w:w="2500" w:type="dxa"/>
          </w:tcPr>
          <w:p>
            <w:r>
              <w:rPr>
                <w:rFonts w:ascii="Calibri" w:hAnsi="Calibri"/>
                <w:color w:val="000000"/>
                <w:sz w:val="19"/>
              </w:rPr>
              <w:t xml:space="preserve">Descubrimiento técnico</w:t>
            </w:r>
          </w:p>
        </w:tc>
        <w:tc>
          <w:tcPr>
            <w:tcW w:w="960" w:type="dxa"/>
          </w:tcPr>
          <w:p>
            <w:r>
              <w:rPr>
                <w:rFonts w:ascii="Calibri" w:hAnsi="Calibri"/>
                <w:color w:val="000000"/>
                <w:sz w:val="19"/>
              </w:rPr>
              <w:t xml:space="preserve">15</w:t>
            </w:r>
          </w:p>
        </w:tc>
        <w:tc>
          <w:tcPr>
            <w:tcW w:w="1300" w:type="dxa"/>
          </w:tcPr>
          <w:p>
            <w:r>
              <w:rPr>
                <w:rFonts w:ascii="Calibri" w:hAnsi="Calibri"/>
                <w:color w:val="000000"/>
                <w:sz w:val="19"/>
              </w:rPr>
              <w:t xml:space="preserve">2</w:t>
            </w:r>
          </w:p>
        </w:tc>
        <w:tc>
          <w:tcPr>
            <w:tcW w:w="4600" w:type="dxa"/>
          </w:tcPr>
          <w:p>
            <w:r>
              <w:rPr>
                <w:rFonts w:ascii="Calibri" w:hAnsi="Calibri"/>
                <w:color w:val="000000"/>
                <w:sz w:val="19"/>
              </w:rPr>
              <w:t xml:space="preserve">No hay sitemap, llms.txt ni enlaces de entidad en el HTML inicial; el menú también se inyecta con JavaScript.</w:t>
            </w:r>
          </w:p>
        </w:tc>
      </w:tr>
      <w:tr>
        <w:trPr>
          <w:cantSplit/>
        </w:trPr>
        <w:tc>
          <w:tcPr>
            <w:tcW w:w="2500" w:type="dxa"/>
          </w:tcPr>
          <w:p>
            <w:r>
              <w:rPr>
                <w:rFonts w:ascii="Calibri" w:hAnsi="Calibri"/>
                <w:color w:val="000000"/>
                <w:sz w:val="19"/>
              </w:rPr>
              <w:t xml:space="preserve">Renderizado e interacción</w:t>
            </w:r>
          </w:p>
        </w:tc>
        <w:tc>
          <w:tcPr>
            <w:tcW w:w="960" w:type="dxa"/>
          </w:tcPr>
          <w:p>
            <w:r>
              <w:rPr>
                <w:rFonts w:ascii="Calibri" w:hAnsi="Calibri"/>
                <w:color w:val="000000"/>
                <w:sz w:val="19"/>
              </w:rPr>
              <w:t xml:space="preserve">20</w:t>
            </w:r>
          </w:p>
        </w:tc>
        <w:tc>
          <w:tcPr>
            <w:tcW w:w="1300" w:type="dxa"/>
          </w:tcPr>
          <w:p>
            <w:r>
              <w:rPr>
                <w:rFonts w:ascii="Calibri" w:hAnsi="Calibri"/>
                <w:color w:val="000000"/>
                <w:sz w:val="19"/>
              </w:rPr>
              <w:t xml:space="preserve">3</w:t>
            </w:r>
          </w:p>
        </w:tc>
        <w:tc>
          <w:tcPr>
            <w:tcW w:w="4600" w:type="dxa"/>
          </w:tcPr>
          <w:p>
            <w:r>
              <w:rPr>
                <w:rFonts w:ascii="Calibri" w:hAnsi="Calibri"/>
                <w:color w:val="000000"/>
                <w:sz w:val="19"/>
              </w:rPr>
              <w:t xml:space="preserve">El contenido se ensambla del lado cliente; los filtros no son plenamente direccionables y las consultas API usadas por la interfaz fallaron.</w:t>
            </w:r>
          </w:p>
        </w:tc>
      </w:tr>
      <w:tr>
        <w:trPr>
          <w:cantSplit/>
        </w:trPr>
        <w:tc>
          <w:tcPr>
            <w:tcW w:w="2500" w:type="dxa"/>
          </w:tcPr>
          <w:p>
            <w:r>
              <w:rPr>
                <w:rFonts w:ascii="Calibri" w:hAnsi="Calibri"/>
                <w:color w:val="000000"/>
                <w:sz w:val="19"/>
              </w:rPr>
              <w:t xml:space="preserve">Datos estructurados</w:t>
            </w:r>
          </w:p>
        </w:tc>
        <w:tc>
          <w:tcPr>
            <w:tcW w:w="960" w:type="dxa"/>
          </w:tcPr>
          <w:p>
            <w:r>
              <w:rPr>
                <w:rFonts w:ascii="Calibri" w:hAnsi="Calibri"/>
                <w:color w:val="000000"/>
                <w:sz w:val="19"/>
              </w:rPr>
              <w:t xml:space="preserve">15</w:t>
            </w:r>
          </w:p>
        </w:tc>
        <w:tc>
          <w:tcPr>
            <w:tcW w:w="1300" w:type="dxa"/>
          </w:tcPr>
          <w:p>
            <w:r>
              <w:rPr>
                <w:rFonts w:ascii="Calibri" w:hAnsi="Calibri"/>
                <w:color w:val="000000"/>
                <w:sz w:val="19"/>
              </w:rPr>
              <w:t xml:space="preserve">0</w:t>
            </w:r>
          </w:p>
        </w:tc>
        <w:tc>
          <w:tcPr>
            <w:tcW w:w="4600" w:type="dxa"/>
          </w:tcPr>
          <w:p>
            <w:r>
              <w:rPr>
                <w:rFonts w:ascii="Calibri" w:hAnsi="Calibri"/>
                <w:color w:val="000000"/>
                <w:sz w:val="19"/>
              </w:rPr>
              <w:t xml:space="preserve">No se encontró JSON-LD en shells ni fragmentos; faltan canónicos, descripciones meta y H1 iniciales.</w:t>
            </w:r>
          </w:p>
        </w:tc>
      </w:tr>
      <w:tr>
        <w:trPr>
          <w:cantSplit/>
        </w:trPr>
        <w:tc>
          <w:tcPr>
            <w:tcW w:w="2500" w:type="dxa"/>
          </w:tcPr>
          <w:p>
            <w:r>
              <w:rPr>
                <w:rFonts w:ascii="Calibri" w:hAnsi="Calibri"/>
                <w:color w:val="000000"/>
                <w:sz w:val="19"/>
              </w:rPr>
              <w:t xml:space="preserve">API y uso por agentes de código</w:t>
            </w:r>
          </w:p>
        </w:tc>
        <w:tc>
          <w:tcPr>
            <w:tcW w:w="960" w:type="dxa"/>
          </w:tcPr>
          <w:p>
            <w:r>
              <w:rPr>
                <w:rFonts w:ascii="Calibri" w:hAnsi="Calibri"/>
                <w:color w:val="000000"/>
                <w:sz w:val="19"/>
              </w:rPr>
              <w:t xml:space="preserve">25</w:t>
            </w:r>
          </w:p>
        </w:tc>
        <w:tc>
          <w:tcPr>
            <w:tcW w:w="1300" w:type="dxa"/>
          </w:tcPr>
          <w:p>
            <w:r>
              <w:rPr>
                <w:rFonts w:ascii="Calibri" w:hAnsi="Calibri"/>
                <w:color w:val="000000"/>
                <w:sz w:val="19"/>
              </w:rPr>
              <w:t xml:space="preserve">7</w:t>
            </w:r>
          </w:p>
        </w:tc>
        <w:tc>
          <w:tcPr>
            <w:tcW w:w="4600" w:type="dxa"/>
          </w:tcPr>
          <w:p>
            <w:r>
              <w:rPr>
                <w:rFonts w:ascii="Calibri" w:hAnsi="Calibri"/>
                <w:color w:val="000000"/>
                <w:sz w:val="19"/>
              </w:rPr>
              <w:t xml:space="preserve">Existe JSON público y CORS, pero no hay documentación/OpenAPI, los filtros devuelven 502 y la respuesta completa requiere depuración cliente.</w:t>
            </w:r>
          </w:p>
        </w:tc>
      </w:tr>
      <w:tr>
        <w:trPr>
          <w:cantSplit/>
        </w:trPr>
        <w:tc>
          <w:tcPr>
            <w:tcW w:w="2500" w:type="dxa"/>
          </w:tcPr>
          <w:p>
            <w:r>
              <w:rPr>
                <w:rFonts w:ascii="Calibri" w:hAnsi="Calibri"/>
                <w:color w:val="000000"/>
                <w:sz w:val="19"/>
              </w:rPr>
              <w:t xml:space="preserve">Autoridad y citabilidad</w:t>
            </w:r>
          </w:p>
        </w:tc>
        <w:tc>
          <w:tcPr>
            <w:tcW w:w="960" w:type="dxa"/>
          </w:tcPr>
          <w:p>
            <w:r>
              <w:rPr>
                <w:rFonts w:ascii="Calibri" w:hAnsi="Calibri"/>
                <w:color w:val="000000"/>
                <w:sz w:val="19"/>
              </w:rPr>
              <w:t xml:space="preserve">15</w:t>
            </w:r>
          </w:p>
        </w:tc>
        <w:tc>
          <w:tcPr>
            <w:tcW w:w="1300" w:type="dxa"/>
          </w:tcPr>
          <w:p>
            <w:r>
              <w:rPr>
                <w:rFonts w:ascii="Calibri" w:hAnsi="Calibri"/>
                <w:color w:val="000000"/>
                <w:sz w:val="19"/>
              </w:rPr>
              <w:t xml:space="preserve">8</w:t>
            </w:r>
          </w:p>
        </w:tc>
        <w:tc>
          <w:tcPr>
            <w:tcW w:w="4600" w:type="dxa"/>
          </w:tcPr>
          <w:p>
            <w:r>
              <w:rPr>
                <w:rFonts w:ascii="Calibri" w:hAnsi="Calibri"/>
                <w:color w:val="000000"/>
                <w:sz w:val="19"/>
              </w:rPr>
              <w:t xml:space="preserve">CEPAL aporta alta autoridad y fuentes, pero las entidades carecen de HTML citable, URL canónica completa y metadatos uniformes.</w:t>
            </w:r>
          </w:p>
        </w:tc>
      </w:tr>
      <w:tr>
        <w:trPr>
          <w:cantSplit/>
        </w:trPr>
        <w:tc>
          <w:tcPr>
            <w:tcW w:w="2500" w:type="dxa"/>
          </w:tcPr>
          <w:p>
            <w:r>
              <w:rPr>
                <w:rFonts w:ascii="Calibri" w:hAnsi="Calibri"/>
                <w:color w:val="000000"/>
                <w:sz w:val="19"/>
              </w:rPr>
              <w:t xml:space="preserve">Total</w:t>
            </w:r>
          </w:p>
        </w:tc>
        <w:tc>
          <w:tcPr>
            <w:tcW w:w="960" w:type="dxa"/>
          </w:tcPr>
          <w:p>
            <w:r>
              <w:rPr>
                <w:rFonts w:ascii="Calibri" w:hAnsi="Calibri"/>
                <w:color w:val="000000"/>
                <w:sz w:val="19"/>
              </w:rPr>
              <w:t xml:space="preserve">100</w:t>
            </w:r>
          </w:p>
        </w:tc>
        <w:tc>
          <w:tcPr>
            <w:tcW w:w="1300" w:type="dxa"/>
          </w:tcPr>
          <w:p>
            <w:r>
              <w:rPr>
                <w:rFonts w:ascii="Calibri" w:hAnsi="Calibri"/>
                <w:color w:val="000000"/>
                <w:sz w:val="19"/>
              </w:rPr>
              <w:t xml:space="preserve">23</w:t>
            </w:r>
          </w:p>
        </w:tc>
        <w:tc>
          <w:tcPr>
            <w:tcW w:w="4600" w:type="dxa"/>
          </w:tcPr>
          <w:p>
            <w:r>
              <w:rPr>
                <w:rFonts w:ascii="Calibri" w:hAnsi="Calibri"/>
                <w:color w:val="000000"/>
                <w:sz w:val="19"/>
              </w:rPr>
              <w:t xml:space="preserve">No preparado (Not Ready)</w:t>
            </w:r>
          </w:p>
        </w:tc>
      </w:tr>
    </w:tbl>
    <w:p>
      <w:pPr>
        <w:spacing w:after="120"/>
      </w:pPr>
    </w:p>
    <w:p>
      <w:pPr>
        <w:pStyle w:val="Heading2"/>
        <w:spacing w:before="240" w:after="120" w:line="264" w:lineRule="auto"/>
        <w:widowControl/>
      </w:pPr>
      <w:r>
        <w:rPr>
          <w:rFonts w:ascii="Calibri" w:hAnsi="Calibri"/>
          <w:color w:val="000000"/>
          <w:sz w:val="22"/>
        </w:rPr>
        <w:t xml:space="preserve">Interpretación de la escala</w:t>
      </w:r>
    </w:p>
    <w:p>
      <w:pPr>
        <w:pStyle w:val="Normal"/>
        <w:spacing w:before="0" w:after="160" w:line="264" w:lineRule="auto"/>
        <w:widowControl/>
        <w:numPr>
          <w:ilvl w:val="0"/>
          <w:numId w:val="1"/>
        </w:numPr>
        <w:ind w:left="720" w:hanging="360"/>
      </w:pPr>
      <w:r>
        <w:rPr>
          <w:rFonts w:ascii="Calibri" w:hAnsi="Calibri"/>
          <w:color w:val="000000"/>
          <w:sz w:val="22"/>
        </w:rPr>
        <w:t xml:space="preserve">0–24: No preparado.</w:t>
      </w:r>
    </w:p>
    <w:p>
      <w:pPr>
        <w:pStyle w:val="Normal"/>
        <w:spacing w:before="0" w:after="160" w:line="264" w:lineRule="auto"/>
        <w:widowControl/>
        <w:numPr>
          <w:ilvl w:val="0"/>
          <w:numId w:val="1"/>
        </w:numPr>
        <w:ind w:left="720" w:hanging="360"/>
      </w:pPr>
      <w:r>
        <w:rPr>
          <w:rFonts w:ascii="Calibri" w:hAnsi="Calibri"/>
          <w:color w:val="000000"/>
          <w:sz w:val="22"/>
        </w:rPr>
        <w:t xml:space="preserve">25–49: Preparación baja/parcial; aún no preparado.</w:t>
      </w:r>
    </w:p>
    <w:p>
      <w:pPr>
        <w:pStyle w:val="Normal"/>
        <w:spacing w:before="0" w:after="160" w:line="264" w:lineRule="auto"/>
        <w:widowControl/>
        <w:numPr>
          <w:ilvl w:val="0"/>
          <w:numId w:val="1"/>
        </w:numPr>
        <w:ind w:left="720" w:hanging="360"/>
      </w:pPr>
      <w:r>
        <w:rPr>
          <w:rFonts w:ascii="Calibri" w:hAnsi="Calibri"/>
          <w:color w:val="000000"/>
          <w:sz w:val="22"/>
        </w:rPr>
        <w:t xml:space="preserve">50–74: Preparación intermedia.</w:t>
      </w:r>
    </w:p>
    <w:p>
      <w:pPr>
        <w:pStyle w:val="Normal"/>
        <w:spacing w:before="0" w:after="160" w:line="264" w:lineRule="auto"/>
        <w:widowControl/>
        <w:numPr>
          <w:ilvl w:val="0"/>
          <w:numId w:val="1"/>
        </w:numPr>
        <w:ind w:left="720" w:hanging="360"/>
      </w:pPr>
      <w:r>
        <w:rPr>
          <w:rFonts w:ascii="Calibri" w:hAnsi="Calibri"/>
          <w:color w:val="000000"/>
          <w:sz w:val="22"/>
        </w:rPr>
        <w:t xml:space="preserve">75–89: Preparado con brechas.</w:t>
      </w:r>
    </w:p>
    <w:p>
      <w:pPr>
        <w:pStyle w:val="Normal"/>
        <w:spacing w:before="0" w:after="160" w:line="264" w:lineRule="auto"/>
        <w:widowControl/>
        <w:numPr>
          <w:ilvl w:val="0"/>
          <w:numId w:val="1"/>
        </w:numPr>
        <w:ind w:left="720" w:hanging="360"/>
      </w:pPr>
      <w:r>
        <w:rPr>
          <w:rFonts w:ascii="Calibri" w:hAnsi="Calibri"/>
          <w:color w:val="000000"/>
          <w:sz w:val="22"/>
        </w:rPr>
        <w:t xml:space="preserve">90–100: Agent Ready.</w:t>
      </w:r>
    </w:p>
    <w:p>
      <w:pPr>
        <w:pStyle w:val="Normal"/>
        <w:spacing w:before="0" w:after="120" w:line="264" w:lineRule="auto"/>
        <w:widowControl/>
      </w:pPr>
      <w:r>
        <w:rPr>
          <w:rFonts w:ascii="Calibri" w:hAnsi="Calibri"/>
          <w:color w:val="000000"/>
          <w:sz w:val="22"/>
        </w:rPr>
        <w:t xml:space="preserve">La suma es 3 + 2 + 3 + 0 + 7 + 8 = 23.</w:t>
      </w:r>
    </w:p>
    <w:p>
      <w:pPr>
        <w:pStyle w:val="Heading1"/>
        <w:spacing w:before="320" w:after="160" w:line="264" w:lineRule="auto"/>
        <w:widowControl/>
      </w:pPr>
      <w:r>
        <w:rPr>
          <w:rFonts w:ascii="Calibri" w:hAnsi="Calibri"/>
          <w:color w:val="000000"/>
          <w:sz w:val="22"/>
        </w:rPr>
        <w:t xml:space="preserve">3. Alcance, método y clasificación de evidencia</w:t>
      </w:r>
    </w:p>
    <w:p>
      <w:pPr>
        <w:pStyle w:val="Heading2"/>
        <w:spacing w:before="240" w:after="120" w:line="264" w:lineRule="auto"/>
        <w:widowControl/>
      </w:pPr>
      <w:r>
        <w:rPr>
          <w:rFonts w:ascii="Calibri" w:hAnsi="Calibri"/>
          <w:color w:val="000000"/>
          <w:sz w:val="22"/>
        </w:rPr>
        <w:t xml:space="preserve">Alcance revisado</w:t>
      </w:r>
    </w:p>
    <w:p>
      <w:pPr>
        <w:pStyle w:val="Normal"/>
        <w:spacing w:before="0" w:after="120" w:line="264" w:lineRule="auto"/>
        <w:widowControl/>
      </w:pPr>
      <w:r>
        <w:rPr>
          <w:rFonts w:ascii="Calibri" w:hAnsi="Calibri"/>
          <w:color w:val="000000"/>
          <w:sz w:val="22"/>
        </w:rPr>
        <w:t xml:space="preserve">Se probaron la portada y las rutas actuales derivadas de su navegación:</w:t>
      </w:r>
    </w:p>
    <w:p>
      <w:pPr>
        <w:pStyle w:val="Normal"/>
        <w:spacing w:before="0" w:after="160" w:line="264" w:lineRule="auto"/>
        <w:widowControl/>
        <w:numPr>
          <w:ilvl w:val="0"/>
          <w:numId w:val="1"/>
        </w:numPr>
        <w:ind w:left="720" w:hanging="360"/>
      </w:pPr>
      <w:r>
        <w:rPr>
          <w:rFonts w:ascii="Calibri" w:hAnsi="Calibri"/>
          <w:color w:val="000000"/>
          <w:sz w:val="22"/>
        </w:rPr>
        <w:t xml:space="preserve">Portada en español (https://observatorioplanificacion.cepal.org/es/) y portada en inglés (https://observatorioplanificacion.cepal.org/en/).</w:t>
      </w:r>
    </w:p>
    <w:p>
      <w:pPr>
        <w:pStyle w:val="Normal"/>
        <w:spacing w:before="0" w:after="160" w:line="264" w:lineRule="auto"/>
        <w:widowControl/>
        <w:numPr>
          <w:ilvl w:val="0"/>
          <w:numId w:val="1"/>
        </w:numPr>
        <w:ind w:left="720" w:hanging="360"/>
      </w:pPr>
      <w:r>
        <w:rPr>
          <w:rFonts w:ascii="Calibri" w:hAnsi="Calibri"/>
          <w:color w:val="000000"/>
          <w:sz w:val="22"/>
        </w:rPr>
        <w:t xml:space="preserve">Planificación para el desarrollo (https://observatorioplanificacion.cepal.org/es/planificacion-para-el-desarrollo/).</w:t>
      </w:r>
    </w:p>
    <w:p>
      <w:pPr>
        <w:pStyle w:val="Normal"/>
        <w:spacing w:before="0" w:after="160" w:line="264" w:lineRule="auto"/>
        <w:widowControl/>
        <w:numPr>
          <w:ilvl w:val="0"/>
          <w:numId w:val="1"/>
        </w:numPr>
        <w:ind w:left="720" w:hanging="360"/>
      </w:pPr>
      <w:r>
        <w:rPr>
          <w:rFonts w:ascii="Calibri" w:hAnsi="Calibri"/>
          <w:color w:val="000000"/>
          <w:sz w:val="22"/>
        </w:rPr>
        <w:t xml:space="preserve">Inversión pública (https://observatorioplanificacion.cepal.org/es/inversion-publica/).</w:t>
      </w:r>
    </w:p>
    <w:p>
      <w:pPr>
        <w:pStyle w:val="Normal"/>
        <w:spacing w:before="0" w:after="160" w:line="264" w:lineRule="auto"/>
        <w:widowControl/>
        <w:numPr>
          <w:ilvl w:val="0"/>
          <w:numId w:val="1"/>
        </w:numPr>
        <w:ind w:left="720" w:hanging="360"/>
      </w:pPr>
      <w:r>
        <w:rPr>
          <w:rFonts w:ascii="Calibri" w:hAnsi="Calibri"/>
          <w:color w:val="000000"/>
          <w:sz w:val="22"/>
        </w:rPr>
        <w:t xml:space="preserve">Gobierno abierto (https://observatorioplanificacion.cepal.org/es/gobierno-abierto/).</w:t>
      </w:r>
    </w:p>
    <w:p>
      <w:pPr>
        <w:pStyle w:val="Normal"/>
        <w:spacing w:before="0" w:after="160" w:line="264" w:lineRule="auto"/>
        <w:widowControl/>
        <w:numPr>
          <w:ilvl w:val="0"/>
          <w:numId w:val="1"/>
        </w:numPr>
        <w:ind w:left="720" w:hanging="360"/>
      </w:pPr>
      <w:r>
        <w:rPr>
          <w:rFonts w:ascii="Calibri" w:hAnsi="Calibri"/>
          <w:color w:val="000000"/>
          <w:sz w:val="22"/>
        </w:rPr>
        <w:t xml:space="preserve">Desarrollo y ordenamiento territorial (https://observatorioplanificacion.cepal.org/es/desarrollo-y-ordenamiento-territorial/).</w:t>
      </w:r>
    </w:p>
    <w:p>
      <w:pPr>
        <w:pStyle w:val="Normal"/>
        <w:spacing w:before="0" w:after="160" w:line="264" w:lineRule="auto"/>
        <w:widowControl/>
        <w:numPr>
          <w:ilvl w:val="0"/>
          <w:numId w:val="1"/>
        </w:numPr>
        <w:ind w:left="720" w:hanging="360"/>
      </w:pPr>
      <w:r>
        <w:rPr>
          <w:rFonts w:ascii="Calibri" w:hAnsi="Calibri"/>
          <w:color w:val="000000"/>
          <w:sz w:val="22"/>
        </w:rPr>
        <w:t xml:space="preserve">Planes, programas e instrumentos (https://observatorioplanificacion.cepal.org/es/planes-programas-e-instrumentos/).</w:t>
      </w:r>
    </w:p>
    <w:p>
      <w:pPr>
        <w:pStyle w:val="Normal"/>
        <w:spacing w:before="0" w:after="160" w:line="264" w:lineRule="auto"/>
        <w:widowControl/>
        <w:numPr>
          <w:ilvl w:val="0"/>
          <w:numId w:val="1"/>
        </w:numPr>
        <w:ind w:left="720" w:hanging="360"/>
      </w:pPr>
      <w:r>
        <w:rPr>
          <w:rFonts w:ascii="Calibri" w:hAnsi="Calibri"/>
          <w:color w:val="000000"/>
          <w:sz w:val="22"/>
        </w:rPr>
        <w:t xml:space="preserve">Marcos normativos (https://observatorioplanificacion.cepal.org/es/marcos-normativos/).</w:t>
      </w:r>
    </w:p>
    <w:p>
      <w:pPr>
        <w:pStyle w:val="Normal"/>
        <w:spacing w:before="0" w:after="160" w:line="264" w:lineRule="auto"/>
        <w:widowControl/>
        <w:numPr>
          <w:ilvl w:val="0"/>
          <w:numId w:val="1"/>
        </w:numPr>
        <w:ind w:left="720" w:hanging="360"/>
      </w:pPr>
      <w:r>
        <w:rPr>
          <w:rFonts w:ascii="Calibri" w:hAnsi="Calibri"/>
          <w:color w:val="000000"/>
          <w:sz w:val="22"/>
        </w:rPr>
        <w:t xml:space="preserve">Metodologías (https://observatorioplanificacion.cepal.org/es/metodologias/).</w:t>
      </w:r>
    </w:p>
    <w:p>
      <w:pPr>
        <w:pStyle w:val="Normal"/>
        <w:spacing w:before="0" w:after="160" w:line="264" w:lineRule="auto"/>
        <w:widowControl/>
        <w:numPr>
          <w:ilvl w:val="0"/>
          <w:numId w:val="1"/>
        </w:numPr>
        <w:ind w:left="720" w:hanging="360"/>
      </w:pPr>
      <w:r>
        <w:rPr>
          <w:rFonts w:ascii="Calibri" w:hAnsi="Calibri"/>
          <w:color w:val="000000"/>
          <w:sz w:val="22"/>
        </w:rPr>
        <w:t xml:space="preserve">Instituciones (https://observatorioplanificacion.cepal.org/es/instituciones/).</w:t>
      </w:r>
    </w:p>
    <w:p>
      <w:pPr>
        <w:pStyle w:val="Normal"/>
        <w:spacing w:before="0" w:after="160" w:line="264" w:lineRule="auto"/>
        <w:widowControl/>
        <w:numPr>
          <w:ilvl w:val="0"/>
          <w:numId w:val="1"/>
        </w:numPr>
        <w:ind w:left="720" w:hanging="360"/>
      </w:pPr>
      <w:r>
        <w:rPr>
          <w:rFonts w:ascii="Calibri" w:hAnsi="Calibri"/>
          <w:color w:val="000000"/>
          <w:sz w:val="22"/>
        </w:rPr>
        <w:t xml:space="preserve">Sistemas nacionales de planificación (https://observatorioplanificacion.cepal.org/es/sistemas-nacionales-de-planificacion/).</w:t>
      </w:r>
    </w:p>
    <w:p>
      <w:pPr>
        <w:pStyle w:val="Normal"/>
        <w:spacing w:before="0" w:after="160" w:line="264" w:lineRule="auto"/>
        <w:widowControl/>
        <w:numPr>
          <w:ilvl w:val="0"/>
          <w:numId w:val="1"/>
        </w:numPr>
        <w:ind w:left="720" w:hanging="360"/>
      </w:pPr>
      <w:r>
        <w:rPr>
          <w:rFonts w:ascii="Calibri" w:hAnsi="Calibri"/>
          <w:color w:val="000000"/>
          <w:sz w:val="22"/>
        </w:rPr>
        <w:t xml:space="preserve">Sistemas nacionales de inversión pública (https://observatorioplanificacion.cepal.org/es/sistemas-nacionales-de-inversion-publica/).</w:t>
      </w:r>
    </w:p>
    <w:p>
      <w:pPr>
        <w:pStyle w:val="Normal"/>
        <w:spacing w:before="0" w:after="160" w:line="264" w:lineRule="auto"/>
        <w:widowControl/>
        <w:numPr>
          <w:ilvl w:val="0"/>
          <w:numId w:val="1"/>
        </w:numPr>
        <w:ind w:left="720" w:hanging="360"/>
      </w:pPr>
      <w:r>
        <w:rPr>
          <w:rFonts w:ascii="Calibri" w:hAnsi="Calibri"/>
          <w:color w:val="000000"/>
          <w:sz w:val="22"/>
        </w:rPr>
        <w:t xml:space="preserve">Países (https://observatorioplanificacion.cepal.org/es/paises/), preguntas frecuentes y geoportal.</w:t>
      </w:r>
    </w:p>
    <w:p>
      <w:pPr>
        <w:pStyle w:val="Normal"/>
        <w:spacing w:before="0" w:after="120" w:line="264" w:lineRule="auto"/>
        <w:widowControl/>
      </w:pPr>
      <w:r>
        <w:rPr>
          <w:rFonts w:ascii="Calibri" w:hAnsi="Calibri"/>
          <w:color w:val="000000"/>
          <w:sz w:val="22"/>
        </w:rPr>
        <w:t xml:space="preserve">También se inspeccionaron los fragmentos HTML y scripts JavaScript cargados por esas rutas, los archivos de claves de datos, la API api-kobo.cepal.org, las respuestas HTTP, redirecciones, archivos de descubrimiento y una ficha direccionada mediante ?id=46551.</w:t>
      </w:r>
    </w:p>
    <w:p>
      <w:pPr>
        <w:pStyle w:val="Heading2"/>
        <w:spacing w:before="240" w:after="120" w:line="264" w:lineRule="auto"/>
        <w:widowControl/>
      </w:pPr>
      <w:r>
        <w:rPr>
          <w:rFonts w:ascii="Calibri" w:hAnsi="Calibri"/>
          <w:color w:val="000000"/>
          <w:sz w:val="22"/>
        </w:rPr>
        <w:t xml:space="preserve">Método</w:t>
      </w:r>
    </w:p>
    <w:p>
      <w:pPr>
        <w:pStyle w:val="Normal"/>
        <w:spacing w:before="0" w:after="160" w:line="264" w:lineRule="auto"/>
        <w:widowControl/>
        <w:numPr>
          <w:ilvl w:val="0"/>
          <w:numId w:val="2"/>
        </w:numPr>
        <w:ind w:left="720" w:hanging="360"/>
      </w:pPr>
      <w:r>
        <w:rPr>
          <w:rFonts w:ascii="Calibri" w:hAnsi="Calibri"/>
          <w:color w:val="000000"/>
          <w:sz w:val="22"/>
        </w:rPr>
        <w:t xml:space="preserve">Recuperación HTTP directa de shells, fragmentos, scripts, JSON y cabeceras.</w:t>
      </w:r>
    </w:p>
    <w:p>
      <w:pPr>
        <w:pStyle w:val="Normal"/>
        <w:spacing w:before="0" w:after="160" w:line="264" w:lineRule="auto"/>
        <w:widowControl/>
        <w:numPr>
          <w:ilvl w:val="0"/>
          <w:numId w:val="2"/>
        </w:numPr>
        <w:ind w:left="720" w:hanging="360"/>
      </w:pPr>
      <w:r>
        <w:rPr>
          <w:rFonts w:ascii="Calibri" w:hAnsi="Calibri"/>
          <w:color w:val="000000"/>
          <w:sz w:val="22"/>
        </w:rPr>
        <w:t xml:space="preserve">Comparación entre el HTML inicial y el contenido que el código intenta añadir después.</w:t>
      </w:r>
    </w:p>
    <w:p>
      <w:pPr>
        <w:pStyle w:val="Normal"/>
        <w:spacing w:before="0" w:after="160" w:line="264" w:lineRule="auto"/>
        <w:widowControl/>
        <w:numPr>
          <w:ilvl w:val="0"/>
          <w:numId w:val="2"/>
        </w:numPr>
        <w:ind w:left="720" w:hanging="360"/>
      </w:pPr>
      <w:r>
        <w:rPr>
          <w:rFonts w:ascii="Calibri" w:hAnsi="Calibri"/>
          <w:color w:val="000000"/>
          <w:sz w:val="22"/>
        </w:rPr>
        <w:t xml:space="preserve">Lectura de la lógica de selección, filtrado, historial, detalle y exportación CSV.</w:t>
      </w:r>
    </w:p>
    <w:p>
      <w:pPr>
        <w:pStyle w:val="Normal"/>
        <w:spacing w:before="0" w:after="160" w:line="264" w:lineRule="auto"/>
        <w:widowControl/>
        <w:numPr>
          <w:ilvl w:val="0"/>
          <w:numId w:val="2"/>
        </w:numPr>
        <w:ind w:left="720" w:hanging="360"/>
      </w:pPr>
      <w:r>
        <w:rPr>
          <w:rFonts w:ascii="Calibri" w:hAnsi="Calibri"/>
          <w:color w:val="000000"/>
          <w:sz w:val="22"/>
        </w:rPr>
        <w:t xml:space="preserve">Pruebas directas de la API completa, consultas por estado, país, campos e ID.</w:t>
      </w:r>
    </w:p>
    <w:p>
      <w:pPr>
        <w:pStyle w:val="Normal"/>
        <w:spacing w:before="0" w:after="160" w:line="264" w:lineRule="auto"/>
        <w:widowControl/>
        <w:numPr>
          <w:ilvl w:val="0"/>
          <w:numId w:val="2"/>
        </w:numPr>
        <w:ind w:left="720" w:hanging="360"/>
      </w:pPr>
      <w:r>
        <w:rPr>
          <w:rFonts w:ascii="Calibri" w:hAnsi="Calibri"/>
          <w:color w:val="000000"/>
          <w:sz w:val="22"/>
        </w:rPr>
        <w:t xml:space="preserve">Revisión de rutas convencionales de descubrimiento y documentación.</w:t>
      </w:r>
    </w:p>
    <w:p>
      <w:pPr>
        <w:pStyle w:val="Normal"/>
        <w:spacing w:before="0" w:after="160" w:line="264" w:lineRule="auto"/>
        <w:widowControl/>
        <w:numPr>
          <w:ilvl w:val="0"/>
          <w:numId w:val="2"/>
        </w:numPr>
        <w:ind w:left="720" w:hanging="360"/>
      </w:pPr>
      <w:r>
        <w:rPr>
          <w:rFonts w:ascii="Calibri" w:hAnsi="Calibri"/>
          <w:color w:val="000000"/>
          <w:sz w:val="22"/>
        </w:rPr>
        <w:t xml:space="preserve">Aplicación de la rúbrica ponderada del skill.</w:t>
      </w:r>
    </w:p>
    <w:p>
      <w:pPr>
        <w:pStyle w:val="Heading2"/>
        <w:spacing w:before="240" w:after="120" w:line="264" w:lineRule="auto"/>
        <w:widowControl/>
      </w:pPr>
      <w:r>
        <w:rPr>
          <w:rFonts w:ascii="Calibri" w:hAnsi="Calibri"/>
          <w:color w:val="000000"/>
          <w:sz w:val="22"/>
        </w:rPr>
        <w:t xml:space="preserve">Clasificación</w:t>
      </w:r>
    </w:p>
    <w:p>
      <w:pPr>
        <w:pStyle w:val="Normal"/>
        <w:spacing w:before="0" w:after="160" w:line="264" w:lineRule="auto"/>
        <w:widowControl/>
        <w:numPr>
          <w:ilvl w:val="0"/>
          <w:numId w:val="1"/>
        </w:numPr>
        <w:ind w:left="720" w:hanging="360"/>
      </w:pPr>
      <w:r>
        <w:rPr>
          <w:rFonts w:ascii="Calibri" w:hAnsi="Calibri"/>
          <w:color w:val="000000"/>
          <w:sz w:val="22"/>
        </w:rPr>
        <w:t xml:space="preserve">Verificado: observado directamente en una respuesta HTTP, archivo descargado o código cliente servido por el sitio.</w:t>
      </w:r>
    </w:p>
    <w:p>
      <w:pPr>
        <w:pStyle w:val="Normal"/>
        <w:spacing w:before="0" w:after="160" w:line="264" w:lineRule="auto"/>
        <w:widowControl/>
        <w:numPr>
          <w:ilvl w:val="0"/>
          <w:numId w:val="1"/>
        </w:numPr>
        <w:ind w:left="720" w:hanging="360"/>
      </w:pPr>
      <w:r>
        <w:rPr>
          <w:rFonts w:ascii="Calibri" w:hAnsi="Calibri"/>
          <w:color w:val="000000"/>
          <w:sz w:val="22"/>
        </w:rPr>
        <w:t xml:space="preserve">Inferido: consecuencia razonable del código o de una falla verificada, sin confirmación visual completa en el DOM final.</w:t>
      </w:r>
    </w:p>
    <w:p>
      <w:pPr>
        <w:pStyle w:val="Normal"/>
        <w:spacing w:before="0" w:after="160" w:line="264" w:lineRule="auto"/>
        <w:widowControl/>
        <w:numPr>
          <w:ilvl w:val="0"/>
          <w:numId w:val="1"/>
        </w:numPr>
        <w:ind w:left="720" w:hanging="360"/>
      </w:pPr>
      <w:r>
        <w:rPr>
          <w:rFonts w:ascii="Calibri" w:hAnsi="Calibri"/>
          <w:color w:val="000000"/>
          <w:sz w:val="22"/>
        </w:rPr>
        <w:t xml:space="preserve">No verificado: no fue posible comprobarlo con el entorno disponible.</w:t>
      </w:r>
    </w:p>
    <w:p>
      <w:pPr>
        <w:pStyle w:val="Normal"/>
        <w:spacing w:before="0" w:after="160" w:line="264" w:lineRule="auto"/>
        <w:widowControl/>
        <w:numPr>
          <w:ilvl w:val="0"/>
          <w:numId w:val="1"/>
        </w:numPr>
        <w:ind w:left="720" w:hanging="360"/>
      </w:pPr>
      <w:r>
        <w:rPr>
          <w:rFonts w:ascii="Calibri" w:hAnsi="Calibri"/>
          <w:color w:val="000000"/>
          <w:sz w:val="22"/>
        </w:rPr>
        <w:t xml:space="preserve">No aplicable: el criterio no corresponde al componente examinado.</w:t>
      </w:r>
    </w:p>
    <w:p>
      <w:pPr>
        <w:pStyle w:val="Heading2"/>
        <w:spacing w:before="240" w:after="120" w:line="264" w:lineRule="auto"/>
        <w:widowControl/>
      </w:pPr>
      <w:r>
        <w:rPr>
          <w:rFonts w:ascii="Calibri" w:hAnsi="Calibri"/>
          <w:color w:val="000000"/>
          <w:sz w:val="22"/>
        </w:rPr>
        <w:t xml:space="preserve">Limitación del navegador</w:t>
      </w:r>
    </w:p>
    <w:p>
      <w:pPr>
        <w:pStyle w:val="Normal"/>
        <w:spacing w:before="0" w:after="120" w:line="264" w:lineRule="auto"/>
        <w:widowControl/>
      </w:pPr>
      <w:r>
        <w:rPr>
          <w:rFonts w:ascii="Calibri" w:hAnsi="Calibri"/>
          <w:color w:val="000000"/>
          <w:sz w:val="22"/>
        </w:rPr>
        <w:t xml:space="preserve">El control programático de la pestaña de Chrome no pudo iniciar porque el host nativo de la extensión falló en el entorno local. Por ello, no se atribuyó al sitio ninguna falla causada por esa herramienta y el DOM final renderizado se marca como no verificado. La arquitectura dinámica, los estados de filtro, las URLs y las llamadas API sí se verificaron mediante los archivos servidos por el propio portal y solicitudes HTTP directas.</w:t>
      </w:r>
    </w:p>
    <w:p>
      <w:pPr>
        <w:pStyle w:val="Heading1"/>
        <w:spacing w:before="320" w:after="160" w:line="264" w:lineRule="auto"/>
        <w:widowControl/>
      </w:pPr>
      <w:r>
        <w:rPr>
          <w:rFonts w:ascii="Calibri" w:hAnsi="Calibri"/>
          <w:color w:val="000000"/>
          <w:sz w:val="22"/>
        </w:rPr>
        <w:t xml:space="preserve">4. Cómo se construye actualmente el contenido dinámico</w:t>
      </w:r>
    </w:p>
    <w:p>
      <w:pPr>
        <w:pStyle w:val="Normal"/>
        <w:spacing w:before="0" w:after="120" w:line="264" w:lineRule="auto"/>
        <w:widowControl/>
      </w:pPr>
      <w:r>
        <w:rPr>
          <w:rFonts w:ascii="Calibri" w:hAnsi="Calibri"/>
          <w:color w:val="000000"/>
          <w:sz w:val="22"/>
        </w:rPr>
        <w:t xml:space="preserve">El flujo técnico verificado es:</w:t>
      </w:r>
    </w:p>
    <w:p>
      <w:pPr>
        <w:pStyle w:val="Normal"/>
        <w:spacing w:before="0" w:after="120" w:line="264" w:lineRule="auto"/>
        <w:widowControl/>
      </w:pPr>
      <w:r>
        <w:rPr>
          <w:rFonts w:ascii="Calibri" w:hAnsi="Calibri"/>
          <w:color w:val="000000"/>
          <w:sz w:val="22"/>
        </w:rPr>
        <w:t xml:space="preserve">Ruta pública → shell HTML vacía → jQuery .load() → fragmento de interfaz → fetch a API Kobo → filtrado en el navegador → tabla o ficha en el DOM</w:t>
      </w:r>
    </w:p>
    <w:p>
      <w:pPr>
        <w:pStyle w:val="Heading2"/>
        <w:spacing w:before="240" w:after="120" w:line="264" w:lineRule="auto"/>
        <w:widowControl/>
      </w:pPr>
      <w:r>
        <w:rPr>
          <w:rFonts w:ascii="Calibri" w:hAnsi="Calibri"/>
          <w:color w:val="000000"/>
          <w:sz w:val="22"/>
        </w:rPr>
        <w:t xml:space="preserve">4.1 Shell inicial</w:t>
      </w:r>
    </w:p>
    <w:p>
      <w:pPr>
        <w:pStyle w:val="Normal"/>
        <w:spacing w:before="0" w:after="120" w:line="264" w:lineRule="auto"/>
        <w:widowControl/>
      </w:pPr>
      <w:r>
        <w:rPr>
          <w:rFonts w:ascii="Calibri" w:hAnsi="Calibri"/>
          <w:color w:val="000000"/>
          <w:sz w:val="22"/>
        </w:rPr>
        <w:t xml:space="preserve">La portada devuelve un documento de aproximadamente 1 KB cuyo cuerpo contiene solamente:</w:t>
      </w:r>
    </w:p>
    <w:p>
      <w:pPr>
        <w:pStyle w:val="Code"/>
        <w:spacing w:before="80" w:after="160" w:line="264" w:lineRule="auto"/>
        <w:widowControl/>
        <w:shd w:val="clear" w:fill="F2F4F7"/>
      </w:pPr>
      <w:r>
        <w:rPr>
          <w:rFonts w:ascii="Calibri" w:hAnsi="Calibri"/>
          <w:color w:val="000000"/>
          <w:sz w:val="22"/>
        </w:rPr>
        <w:t xml:space="preserve">&lt;header&gt;&lt;/header&gt;
&lt;nav&gt;&lt;/nav&gt;
&lt;div id=""web-content"&gt;&lt;/div&gt;"
&lt;footer&gt;&lt;/footer&gt;</w:t>
      </w:r>
    </w:p>
    <w:p>
      <w:pPr>
        <w:pStyle w:val="Normal"/>
        <w:spacing w:before="0" w:after="120" w:line="264" w:lineRule="auto"/>
        <w:widowControl/>
      </w:pPr>
      <w:r>
        <w:rPr>
          <w:rFonts w:ascii="Calibri" w:hAnsi="Calibri"/>
          <w:color w:val="000000"/>
          <w:sz w:val="22"/>
        </w:rPr>
        <w:t xml:space="preserve">En document.ready, la página carga include/header.html, include/menu.html, include/content/homepage.html y include/footer.html. La ruta de planes usa el mismo patrón, pero carga iframe/planes/web.html dentro de un &lt;section&gt; vacío.</w:t>
      </w:r>
    </w:p>
    <w:p>
      <w:pPr>
        <w:pStyle w:val="Normal"/>
        <w:spacing w:before="0" w:after="120" w:line="264" w:lineRule="auto"/>
        <w:widowControl/>
      </w:pPr>
      <w:r>
        <w:rPr>
          <w:rFonts w:ascii="Calibri" w:hAnsi="Calibri"/>
          <w:color w:val="000000"/>
          <w:sz w:val="22"/>
        </w:rPr>
        <w:t xml:space="preserve">Clasificación: Verificado. Esto demuestra que el contenido esencial no está en la respuesta inicial.</w:t>
      </w:r>
    </w:p>
    <w:p>
      <w:pPr>
        <w:pStyle w:val="Heading2"/>
        <w:spacing w:before="240" w:after="120" w:line="264" w:lineRule="auto"/>
        <w:widowControl/>
      </w:pPr>
      <w:r>
        <w:rPr>
          <w:rFonts w:ascii="Calibri" w:hAnsi="Calibri"/>
          <w:color w:val="000000"/>
          <w:sz w:val="22"/>
        </w:rPr>
        <w:t xml:space="preserve">4.2 Módulos y selecciones</w:t>
      </w:r>
    </w:p>
    <w:p>
      <w:pPr>
        <w:pStyle w:val="Normal"/>
        <w:spacing w:before="0" w:after="120" w:line="264" w:lineRule="auto"/>
        <w:widowControl/>
      </w:pPr>
      <w:r>
        <w:rPr>
          <w:rFonts w:ascii="Calibri" w:hAnsi="Calibri"/>
          <w:color w:val="000000"/>
          <w:sz w:val="22"/>
        </w:rPr>
        <w:t xml:space="preserve">El módulo de planes incorpora siete selectores, botones, tablas y componentes SVG. Los filtros cubren tema, tipo de instrumento, país, escala territorial, temporalidad, vigencia, fechas y palabra clave. La selección se almacena principalmente en #filter_selected y la función cliente vuelve a filtrar el conjunto cargado.</w:t>
      </w:r>
    </w:p>
    <w:p>
      <w:pPr>
        <w:pStyle w:val="Normal"/>
        <w:spacing w:before="0" w:after="120" w:line="264" w:lineRule="auto"/>
        <w:widowControl/>
      </w:pPr>
      <w:r>
        <w:rPr>
          <w:rFonts w:ascii="Calibri" w:hAnsi="Calibri"/>
          <w:color w:val="000000"/>
          <w:sz w:val="22"/>
        </w:rPr>
        <w:t xml:space="preserve">Las aplicaciones de instituciones, marcos normativos, metodologías y sistemas repiten el mismo patrón con sus propias colecciones Kobo.</w:t>
      </w:r>
    </w:p>
    <w:p>
      <w:pPr>
        <w:pStyle w:val="Normal"/>
        <w:spacing w:before="0" w:after="120" w:line="264" w:lineRule="auto"/>
        <w:widowControl/>
      </w:pPr>
      <w:r>
        <w:rPr>
          <w:rFonts w:ascii="Calibri" w:hAnsi="Calibri"/>
          <w:color w:val="000000"/>
          <w:sz w:val="22"/>
        </w:rPr>
        <w:t xml:space="preserve">Clasificación: Verificado. Los selectores y su lógica están presentes en los fragmentos y scripts descargados.</w:t>
      </w:r>
    </w:p>
    <w:p>
      <w:pPr>
        <w:pStyle w:val="Heading2"/>
        <w:spacing w:before="240" w:after="120" w:line="264" w:lineRule="auto"/>
        <w:widowControl/>
      </w:pPr>
      <w:r>
        <w:rPr>
          <w:rFonts w:ascii="Calibri" w:hAnsi="Calibri"/>
          <w:color w:val="000000"/>
          <w:sz w:val="22"/>
        </w:rPr>
        <w:t xml:space="preserve">4.3 Persistencia y compartibilidad</w:t>
      </w:r>
    </w:p>
    <w:p>
      <w:pPr>
        <w:pStyle w:val="Normal"/>
        <w:spacing w:before="0" w:after="160" w:line="264" w:lineRule="auto"/>
        <w:widowControl/>
        <w:numPr>
          <w:ilvl w:val="0"/>
          <w:numId w:val="1"/>
        </w:numPr>
        <w:ind w:left="720" w:hanging="360"/>
      </w:pPr>
      <w:r>
        <w:rPr>
          <w:rFonts w:ascii="Calibri" w:hAnsi="Calibri"/>
          <w:color w:val="000000"/>
          <w:sz w:val="22"/>
        </w:rPr>
        <w:t xml:space="preserve">Al abrir una ficha, el código ejecuta history.pushState y añade ?id=&lt;id&gt;.</w:t>
      </w:r>
    </w:p>
    <w:p>
      <w:pPr>
        <w:pStyle w:val="Normal"/>
        <w:spacing w:before="0" w:after="160" w:line="264" w:lineRule="auto"/>
        <w:widowControl/>
        <w:numPr>
          <w:ilvl w:val="0"/>
          <w:numId w:val="1"/>
        </w:numPr>
        <w:ind w:left="720" w:hanging="360"/>
      </w:pPr>
      <w:r>
        <w:rPr>
          <w:rFonts w:ascii="Calibri" w:hAnsi="Calibri"/>
          <w:color w:val="000000"/>
          <w:sz w:val="22"/>
        </w:rPr>
        <w:t xml:space="preserve">Al volver al listado elimina el parámetro id.</w:t>
      </w:r>
    </w:p>
    <w:p>
      <w:pPr>
        <w:pStyle w:val="Normal"/>
        <w:spacing w:before="0" w:after="160" w:line="264" w:lineRule="auto"/>
        <w:widowControl/>
        <w:numPr>
          <w:ilvl w:val="0"/>
          <w:numId w:val="1"/>
        </w:numPr>
        <w:ind w:left="720" w:hanging="360"/>
      </w:pPr>
      <w:r>
        <w:rPr>
          <w:rFonts w:ascii="Calibri" w:hAnsi="Calibri"/>
          <w:color w:val="000000"/>
          <w:sz w:val="22"/>
        </w:rPr>
        <w:t xml:space="preserve">El portal reconoce algunos parámetros predefinidos como theme, country o territorial_scale en ciertas rutas.</w:t>
      </w:r>
    </w:p>
    <w:p>
      <w:pPr>
        <w:pStyle w:val="Normal"/>
        <w:spacing w:before="0" w:after="160" w:line="264" w:lineRule="auto"/>
        <w:widowControl/>
        <w:numPr>
          <w:ilvl w:val="0"/>
          <w:numId w:val="1"/>
        </w:numPr>
        <w:ind w:left="720" w:hanging="360"/>
      </w:pPr>
      <w:r>
        <w:rPr>
          <w:rFonts w:ascii="Calibri" w:hAnsi="Calibri"/>
          <w:color w:val="000000"/>
          <w:sz w:val="22"/>
        </w:rPr>
        <w:t xml:space="preserve">Sin embargo, las combinaciones realizadas en la interfaz no se serializan de forma completa y automática en la URL; permanecen en estado cliente.</w:t>
      </w:r>
    </w:p>
    <w:p>
      <w:pPr>
        <w:pStyle w:val="Normal"/>
        <w:spacing w:before="0" w:after="120" w:line="264" w:lineRule="auto"/>
        <w:widowControl/>
      </w:pPr>
      <w:r>
        <w:rPr>
          <w:rFonts w:ascii="Calibri" w:hAnsi="Calibri"/>
          <w:color w:val="000000"/>
          <w:sz w:val="22"/>
        </w:rPr>
        <w:t xml:space="preserve">Resultado: una ficha concreta puede llegar a ser compartible, pero una búsqueda multifiltro no es reproducible de manera confiable por otro usuario, crawler o agente.</w:t>
      </w:r>
    </w:p>
    <w:p>
      <w:pPr>
        <w:pStyle w:val="Normal"/>
        <w:spacing w:before="0" w:after="120" w:line="264" w:lineRule="auto"/>
        <w:widowControl/>
      </w:pPr>
      <w:r>
        <w:rPr>
          <w:rFonts w:ascii="Calibri" w:hAnsi="Calibri"/>
          <w:color w:val="000000"/>
          <w:sz w:val="22"/>
        </w:rPr>
        <w:t xml:space="preserve">Clasificación: Verificado para el código; inferido para el efecto sobre todos los estados visuales.</w:t>
      </w:r>
    </w:p>
    <w:p>
      <w:pPr>
        <w:pStyle w:val="Heading2"/>
        <w:spacing w:before="240" w:after="120" w:line="264" w:lineRule="auto"/>
        <w:widowControl/>
      </w:pPr>
      <w:r>
        <w:rPr>
          <w:rFonts w:ascii="Calibri" w:hAnsi="Calibri"/>
          <w:color w:val="000000"/>
          <w:sz w:val="22"/>
        </w:rPr>
        <w:t xml:space="preserve">4.4 Exportación</w:t>
      </w:r>
    </w:p>
    <w:p>
      <w:pPr>
        <w:pStyle w:val="Normal"/>
        <w:spacing w:before="0" w:after="120" w:line="264" w:lineRule="auto"/>
        <w:widowControl/>
      </w:pPr>
      <w:r>
        <w:rPr>
          <w:rFonts w:ascii="Calibri" w:hAnsi="Calibri"/>
          <w:color w:val="000000"/>
          <w:sz w:val="22"/>
        </w:rPr>
        <w:t xml:space="preserve">La descarga CSV se crea en el navegador mediante un Blob y un enlace temporal URL.createObjectURL, con el nombre datos_tabla.csv. No existe una URL estable para citar, automatizar o volver a descargar el mismo conjunto filtrado.</w:t>
      </w:r>
    </w:p>
    <w:p>
      <w:pPr>
        <w:pStyle w:val="Normal"/>
        <w:spacing w:before="0" w:after="120" w:line="264" w:lineRule="auto"/>
        <w:widowControl/>
      </w:pPr>
      <w:r>
        <w:rPr>
          <w:rFonts w:ascii="Calibri" w:hAnsi="Calibri"/>
          <w:color w:val="000000"/>
          <w:sz w:val="22"/>
        </w:rPr>
        <w:t xml:space="preserve">Clasificación: Verificado.</w:t>
      </w:r>
    </w:p>
    <w:p>
      <w:pPr>
        <w:pStyle w:val="Heading1"/>
        <w:spacing w:before="320" w:after="160" w:line="264" w:lineRule="auto"/>
        <w:widowControl/>
      </w:pPr>
      <w:r>
        <w:rPr>
          <w:rFonts w:ascii="Calibri" w:hAnsi="Calibri"/>
          <w:color w:val="000000"/>
          <w:sz w:val="22"/>
        </w:rPr>
        <w:t xml:space="preserve">5. Evidencia HTTP y de descubrimiento</w:t>
      </w:r>
    </w:p>
    <w:tbl>
      <w:tblPr>
        <w:tblW w:w="9360" w:type="dxa"/>
        <w:tblInd w:w="120" w:type="dxa"/>
        <w:tblLayout w:type="fixed"/>
        <w:tblBorders>
          <w:top w:val="single" w:sz="4" w:color="B7C3D0"/>
          <w:left w:val="single" w:sz="4" w:color="B7C3D0"/>
          <w:bottom w:val="single" w:sz="4" w:color="B7C3D0"/>
          <w:right w:val="single" w:sz="4" w:color="B7C3D0"/>
          <w:insideH w:val="single" w:sz="4" w:color="D4DAE1"/>
          <w:insideV w:val="single" w:sz="4" w:color="D4DAE1"/>
        </w:tblBorders>
      </w:tblPr>
      <w:tblGrid>
        <w:gridCol w:w="2500"/>
        <w:gridCol w:w="960"/>
        <w:gridCol w:w="1300"/>
        <w:gridCol w:w="4600"/>
      </w:tblGrid>
      <w:tr>
        <w:trPr>
          <w:cantSplit/>
          <w:tblHeader/>
        </w:trPr>
        <w:tc>
          <w:tcPr>
            <w:tcW w:w="2500" w:type="dxa"/>
            <w:shd w:val="clear" w:fill="F2F4F7"/>
          </w:tcPr>
          <w:p>
            <w:r>
              <w:rPr>
                <w:rFonts w:ascii="Calibri" w:hAnsi="Calibri"/>
                <w:b/>
                <w:color w:val="000000"/>
                <w:sz w:val="19"/>
              </w:rPr>
              <w:t xml:space="preserve">Recurso</w:t>
            </w:r>
          </w:p>
        </w:tc>
        <w:tc>
          <w:tcPr>
            <w:tcW w:w="960" w:type="dxa"/>
            <w:shd w:val="clear" w:fill="F2F4F7"/>
          </w:tcPr>
          <w:p>
            <w:r>
              <w:rPr>
                <w:rFonts w:ascii="Calibri" w:hAnsi="Calibri"/>
                <w:b/>
                <w:color w:val="000000"/>
                <w:sz w:val="19"/>
              </w:rPr>
              <w:t xml:space="preserve">Resultado</w:t>
            </w:r>
          </w:p>
        </w:tc>
        <w:tc>
          <w:tcPr>
            <w:tcW w:w="1300" w:type="dxa"/>
            <w:shd w:val="clear" w:fill="F2F4F7"/>
          </w:tcPr>
          <w:p>
            <w:r>
              <w:rPr>
                <w:rFonts w:ascii="Calibri" w:hAnsi="Calibri"/>
                <w:b/>
                <w:color w:val="000000"/>
                <w:sz w:val="19"/>
              </w:rPr>
              <w:t xml:space="preserve">Tipo/tamaño aproximado</w:t>
            </w:r>
          </w:p>
        </w:tc>
        <w:tc>
          <w:tcPr>
            <w:tcW w:w="4600" w:type="dxa"/>
            <w:shd w:val="clear" w:fill="F2F4F7"/>
          </w:tcPr>
          <w:p>
            <w:r>
              <w:rPr>
                <w:rFonts w:ascii="Calibri" w:hAnsi="Calibri"/>
                <w:b/>
                <w:color w:val="000000"/>
                <w:sz w:val="19"/>
              </w:rPr>
              <w:t xml:space="preserve">Evidencia e impacto</w:t>
            </w:r>
          </w:p>
        </w:tc>
      </w:tr>
      <w:tr>
        <w:trPr>
          <w:cantSplit/>
        </w:trPr>
        <w:tc>
          <w:tcPr>
            <w:tcW w:w="2500" w:type="dxa"/>
          </w:tcPr>
          <w:p>
            <w:r>
              <w:rPr>
                <w:rFonts w:ascii="Calibri" w:hAnsi="Calibri"/>
                <w:color w:val="000000"/>
                <w:sz w:val="19"/>
              </w:rPr>
              <w:t xml:space="preserve">https://observatorioplanificacion.cepal.org/es/</w:t>
            </w:r>
          </w:p>
        </w:tc>
        <w:tc>
          <w:tcPr>
            <w:tcW w:w="960" w:type="dxa"/>
          </w:tcPr>
          <w:p>
            <w:r>
              <w:rPr>
                <w:rFonts w:ascii="Calibri" w:hAnsi="Calibri"/>
                <w:color w:val="000000"/>
                <w:sz w:val="19"/>
              </w:rPr>
              <w:t xml:space="preserve">200</w:t>
            </w:r>
          </w:p>
        </w:tc>
        <w:tc>
          <w:tcPr>
            <w:tcW w:w="1300" w:type="dxa"/>
          </w:tcPr>
          <w:p>
            <w:r>
              <w:rPr>
                <w:rFonts w:ascii="Calibri" w:hAnsi="Calibri"/>
                <w:color w:val="000000"/>
                <w:sz w:val="19"/>
              </w:rPr>
              <w:t xml:space="preserve">text/html, 1.036 bytes</w:t>
            </w:r>
          </w:p>
        </w:tc>
        <w:tc>
          <w:tcPr>
            <w:tcW w:w="4600" w:type="dxa"/>
          </w:tcPr>
          <w:p>
            <w:r>
              <w:rPr>
                <w:rFonts w:ascii="Calibri" w:hAnsi="Calibri"/>
                <w:color w:val="000000"/>
                <w:sz w:val="19"/>
              </w:rPr>
              <w:t xml:space="preserve">Shell sin contenido principal.</w:t>
            </w:r>
          </w:p>
        </w:tc>
      </w:tr>
      <w:tr>
        <w:trPr>
          <w:cantSplit/>
        </w:trPr>
        <w:tc>
          <w:tcPr>
            <w:tcW w:w="2500" w:type="dxa"/>
          </w:tcPr>
          <w:p>
            <w:r>
              <w:rPr>
                <w:rFonts w:ascii="Calibri" w:hAnsi="Calibri"/>
                <w:color w:val="000000"/>
                <w:sz w:val="19"/>
              </w:rPr>
              <w:t xml:space="preserve">/es/planes-programas-e-instrumentos/</w:t>
            </w:r>
          </w:p>
        </w:tc>
        <w:tc>
          <w:tcPr>
            <w:tcW w:w="960" w:type="dxa"/>
          </w:tcPr>
          <w:p>
            <w:r>
              <w:rPr>
                <w:rFonts w:ascii="Calibri" w:hAnsi="Calibri"/>
                <w:color w:val="000000"/>
                <w:sz w:val="19"/>
              </w:rPr>
              <w:t xml:space="preserve">200</w:t>
            </w:r>
          </w:p>
        </w:tc>
        <w:tc>
          <w:tcPr>
            <w:tcW w:w="1300" w:type="dxa"/>
          </w:tcPr>
          <w:p>
            <w:r>
              <w:rPr>
                <w:rFonts w:ascii="Calibri" w:hAnsi="Calibri"/>
                <w:color w:val="000000"/>
                <w:sz w:val="19"/>
              </w:rPr>
              <w:t xml:space="preserve">text/html, ~1,1 KB</w:t>
            </w:r>
          </w:p>
        </w:tc>
        <w:tc>
          <w:tcPr>
            <w:tcW w:w="4600" w:type="dxa"/>
          </w:tcPr>
          <w:p>
            <w:r>
              <w:rPr>
                <w:rFonts w:ascii="Calibri" w:hAnsi="Calibri"/>
                <w:color w:val="000000"/>
                <w:sz w:val="19"/>
              </w:rPr>
              <w:t xml:space="preserve">&lt;section&gt; vacío; carga posterior de iframe/planes/web.html.</w:t>
            </w:r>
          </w:p>
        </w:tc>
      </w:tr>
      <w:tr>
        <w:trPr>
          <w:cantSplit/>
        </w:trPr>
        <w:tc>
          <w:tcPr>
            <w:tcW w:w="2500" w:type="dxa"/>
          </w:tcPr>
          <w:p>
            <w:r>
              <w:rPr>
                <w:rFonts w:ascii="Calibri" w:hAnsi="Calibri"/>
                <w:color w:val="000000"/>
                <w:sz w:val="19"/>
              </w:rPr>
              <w:t xml:space="preserve">/iframe/planes/web.html?lang=es</w:t>
            </w:r>
          </w:p>
        </w:tc>
        <w:tc>
          <w:tcPr>
            <w:tcW w:w="960" w:type="dxa"/>
          </w:tcPr>
          <w:p>
            <w:r>
              <w:rPr>
                <w:rFonts w:ascii="Calibri" w:hAnsi="Calibri"/>
                <w:color w:val="000000"/>
                <w:sz w:val="19"/>
              </w:rPr>
              <w:t xml:space="preserve">200</w:t>
            </w:r>
          </w:p>
        </w:tc>
        <w:tc>
          <w:tcPr>
            <w:tcW w:w="1300" w:type="dxa"/>
          </w:tcPr>
          <w:p>
            <w:r>
              <w:rPr>
                <w:rFonts w:ascii="Calibri" w:hAnsi="Calibri"/>
                <w:color w:val="000000"/>
                <w:sz w:val="19"/>
              </w:rPr>
              <w:t xml:space="preserve">text/html, ~25 KB</w:t>
            </w:r>
          </w:p>
        </w:tc>
        <w:tc>
          <w:tcPr>
            <w:tcW w:w="4600" w:type="dxa"/>
          </w:tcPr>
          <w:p>
            <w:r>
              <w:rPr>
                <w:rFonts w:ascii="Calibri" w:hAnsi="Calibri"/>
                <w:color w:val="000000"/>
                <w:sz w:val="19"/>
              </w:rPr>
              <w:t xml:space="preserve">Controles y plantillas de interfaz accesibles solo si se descubre la ruta interna.</w:t>
            </w:r>
          </w:p>
        </w:tc>
      </w:tr>
      <w:tr>
        <w:trPr>
          <w:cantSplit/>
        </w:trPr>
        <w:tc>
          <w:tcPr>
            <w:tcW w:w="2500" w:type="dxa"/>
          </w:tcPr>
          <w:p>
            <w:r>
              <w:rPr>
                <w:rFonts w:ascii="Calibri" w:hAnsi="Calibri"/>
                <w:color w:val="000000"/>
                <w:sz w:val="19"/>
              </w:rPr>
              <w:t xml:space="preserve">/robots.txt</w:t>
            </w:r>
          </w:p>
        </w:tc>
        <w:tc>
          <w:tcPr>
            <w:tcW w:w="960" w:type="dxa"/>
          </w:tcPr>
          <w:p>
            <w:r>
              <w:rPr>
                <w:rFonts w:ascii="Calibri" w:hAnsi="Calibri"/>
                <w:color w:val="000000"/>
                <w:sz w:val="19"/>
              </w:rPr>
              <w:t xml:space="preserve">404</w:t>
            </w:r>
          </w:p>
        </w:tc>
        <w:tc>
          <w:tcPr>
            <w:tcW w:w="1300" w:type="dxa"/>
          </w:tcPr>
          <w:p>
            <w:r>
              <w:rPr>
                <w:rFonts w:ascii="Calibri" w:hAnsi="Calibri"/>
                <w:color w:val="000000"/>
                <w:sz w:val="19"/>
              </w:rPr>
              <w:t xml:space="preserve">text/html</w:t>
            </w:r>
          </w:p>
        </w:tc>
        <w:tc>
          <w:tcPr>
            <w:tcW w:w="4600" w:type="dxa"/>
          </w:tcPr>
          <w:p>
            <w:r>
              <w:rPr>
                <w:rFonts w:ascii="Calibri" w:hAnsi="Calibri"/>
                <w:color w:val="000000"/>
                <w:sz w:val="19"/>
              </w:rPr>
              <w:t xml:space="preserve">No hay política publicada. La ausencia no equivale a bloqueo.</w:t>
            </w:r>
          </w:p>
        </w:tc>
      </w:tr>
      <w:tr>
        <w:trPr>
          <w:cantSplit/>
        </w:trPr>
        <w:tc>
          <w:tcPr>
            <w:tcW w:w="2500" w:type="dxa"/>
          </w:tcPr>
          <w:p>
            <w:r>
              <w:rPr>
                <w:rFonts w:ascii="Calibri" w:hAnsi="Calibri"/>
                <w:color w:val="000000"/>
                <w:sz w:val="19"/>
              </w:rPr>
              <w:t xml:space="preserve">/sitemap.xml</w:t>
            </w:r>
          </w:p>
        </w:tc>
        <w:tc>
          <w:tcPr>
            <w:tcW w:w="960" w:type="dxa"/>
          </w:tcPr>
          <w:p>
            <w:r>
              <w:rPr>
                <w:rFonts w:ascii="Calibri" w:hAnsi="Calibri"/>
                <w:color w:val="000000"/>
                <w:sz w:val="19"/>
              </w:rPr>
              <w:t xml:space="preserve">404</w:t>
            </w:r>
          </w:p>
        </w:tc>
        <w:tc>
          <w:tcPr>
            <w:tcW w:w="1300" w:type="dxa"/>
          </w:tcPr>
          <w:p>
            <w:r>
              <w:rPr>
                <w:rFonts w:ascii="Calibri" w:hAnsi="Calibri"/>
                <w:color w:val="000000"/>
                <w:sz w:val="19"/>
              </w:rPr>
              <w:t xml:space="preserve">text/html</w:t>
            </w:r>
          </w:p>
        </w:tc>
        <w:tc>
          <w:tcPr>
            <w:tcW w:w="4600" w:type="dxa"/>
          </w:tcPr>
          <w:p>
            <w:r>
              <w:rPr>
                <w:rFonts w:ascii="Calibri" w:hAnsi="Calibri"/>
                <w:color w:val="000000"/>
                <w:sz w:val="19"/>
              </w:rPr>
              <w:t xml:space="preserve">No hay mapa convencional de URLs.</w:t>
            </w:r>
          </w:p>
        </w:tc>
      </w:tr>
      <w:tr>
        <w:trPr>
          <w:cantSplit/>
        </w:trPr>
        <w:tc>
          <w:tcPr>
            <w:tcW w:w="2500" w:type="dxa"/>
          </w:tcPr>
          <w:p>
            <w:r>
              <w:rPr>
                <w:rFonts w:ascii="Calibri" w:hAnsi="Calibri"/>
                <w:color w:val="000000"/>
                <w:sz w:val="19"/>
              </w:rPr>
              <w:t xml:space="preserve">/sitemap_index.xml</w:t>
            </w:r>
          </w:p>
        </w:tc>
        <w:tc>
          <w:tcPr>
            <w:tcW w:w="960" w:type="dxa"/>
          </w:tcPr>
          <w:p>
            <w:r>
              <w:rPr>
                <w:rFonts w:ascii="Calibri" w:hAnsi="Calibri"/>
                <w:color w:val="000000"/>
                <w:sz w:val="19"/>
              </w:rPr>
              <w:t xml:space="preserve">404</w:t>
            </w:r>
          </w:p>
        </w:tc>
        <w:tc>
          <w:tcPr>
            <w:tcW w:w="1300" w:type="dxa"/>
          </w:tcPr>
          <w:p>
            <w:r>
              <w:rPr>
                <w:rFonts w:ascii="Calibri" w:hAnsi="Calibri"/>
                <w:color w:val="000000"/>
                <w:sz w:val="19"/>
              </w:rPr>
              <w:t xml:space="preserve">text/html</w:t>
            </w:r>
          </w:p>
        </w:tc>
        <w:tc>
          <w:tcPr>
            <w:tcW w:w="4600" w:type="dxa"/>
          </w:tcPr>
          <w:p>
            <w:r>
              <w:rPr>
                <w:rFonts w:ascii="Calibri" w:hAnsi="Calibri"/>
                <w:color w:val="000000"/>
                <w:sz w:val="19"/>
              </w:rPr>
              <w:t xml:space="preserve">No hay índice convencional de sitemaps.</w:t>
            </w:r>
          </w:p>
        </w:tc>
      </w:tr>
      <w:tr>
        <w:trPr>
          <w:cantSplit/>
        </w:trPr>
        <w:tc>
          <w:tcPr>
            <w:tcW w:w="2500" w:type="dxa"/>
          </w:tcPr>
          <w:p>
            <w:r>
              <w:rPr>
                <w:rFonts w:ascii="Calibri" w:hAnsi="Calibri"/>
                <w:color w:val="000000"/>
                <w:sz w:val="19"/>
              </w:rPr>
              <w:t xml:space="preserve">/llms.txt</w:t>
            </w:r>
          </w:p>
        </w:tc>
        <w:tc>
          <w:tcPr>
            <w:tcW w:w="960" w:type="dxa"/>
          </w:tcPr>
          <w:p>
            <w:r>
              <w:rPr>
                <w:rFonts w:ascii="Calibri" w:hAnsi="Calibri"/>
                <w:color w:val="000000"/>
                <w:sz w:val="19"/>
              </w:rPr>
              <w:t xml:space="preserve">404</w:t>
            </w:r>
          </w:p>
        </w:tc>
        <w:tc>
          <w:tcPr>
            <w:tcW w:w="1300" w:type="dxa"/>
          </w:tcPr>
          <w:p>
            <w:r>
              <w:rPr>
                <w:rFonts w:ascii="Calibri" w:hAnsi="Calibri"/>
                <w:color w:val="000000"/>
                <w:sz w:val="19"/>
              </w:rPr>
              <w:t xml:space="preserve">text/html</w:t>
            </w:r>
          </w:p>
        </w:tc>
        <w:tc>
          <w:tcPr>
            <w:tcW w:w="4600" w:type="dxa"/>
          </w:tcPr>
          <w:p>
            <w:r>
              <w:rPr>
                <w:rFonts w:ascii="Calibri" w:hAnsi="Calibri"/>
                <w:color w:val="000000"/>
                <w:sz w:val="19"/>
              </w:rPr>
              <w:t xml:space="preserve">No existe guía complementaria para modelos/agentes.</w:t>
            </w:r>
          </w:p>
        </w:tc>
      </w:tr>
      <w:tr>
        <w:trPr>
          <w:cantSplit/>
        </w:trPr>
        <w:tc>
          <w:tcPr>
            <w:tcW w:w="2500" w:type="dxa"/>
          </w:tcPr>
          <w:p>
            <w:r>
              <w:rPr>
                <w:rFonts w:ascii="Calibri" w:hAnsi="Calibri"/>
                <w:color w:val="000000"/>
                <w:sz w:val="19"/>
              </w:rPr>
              <w:t xml:space="preserve">/es/plans</w:t>
            </w:r>
          </w:p>
        </w:tc>
        <w:tc>
          <w:tcPr>
            <w:tcW w:w="960" w:type="dxa"/>
          </w:tcPr>
          <w:p>
            <w:r>
              <w:rPr>
                <w:rFonts w:ascii="Calibri" w:hAnsi="Calibri"/>
                <w:color w:val="000000"/>
                <w:sz w:val="19"/>
              </w:rPr>
              <w:t xml:space="preserve">404</w:t>
            </w:r>
          </w:p>
        </w:tc>
        <w:tc>
          <w:tcPr>
            <w:tcW w:w="1300" w:type="dxa"/>
          </w:tcPr>
          <w:p>
            <w:r>
              <w:rPr>
                <w:rFonts w:ascii="Calibri" w:hAnsi="Calibri"/>
                <w:color w:val="000000"/>
                <w:sz w:val="19"/>
              </w:rPr>
              <w:t xml:space="preserve">text/html</w:t>
            </w:r>
          </w:p>
        </w:tc>
        <w:tc>
          <w:tcPr>
            <w:tcW w:w="4600" w:type="dxa"/>
          </w:tcPr>
          <w:p>
            <w:r>
              <w:rPr>
                <w:rFonts w:ascii="Calibri" w:hAnsi="Calibri"/>
                <w:color w:val="000000"/>
                <w:sz w:val="19"/>
              </w:rPr>
              <w:t xml:space="preserve">Ruta del portal anterior ya no vigente.</w:t>
            </w:r>
          </w:p>
        </w:tc>
      </w:tr>
      <w:tr>
        <w:trPr>
          <w:cantSplit/>
        </w:trPr>
        <w:tc>
          <w:tcPr>
            <w:tcW w:w="2500" w:type="dxa"/>
          </w:tcPr>
          <w:p>
            <w:r>
              <w:rPr>
                <w:rFonts w:ascii="Calibri" w:hAnsi="Calibri"/>
                <w:color w:val="000000"/>
                <w:sz w:val="19"/>
              </w:rPr>
              <w:t xml:space="preserve">/es/planes/plan-nacional-de-desarrollo-2025-2030</w:t>
            </w:r>
          </w:p>
        </w:tc>
        <w:tc>
          <w:tcPr>
            <w:tcW w:w="960" w:type="dxa"/>
          </w:tcPr>
          <w:p>
            <w:r>
              <w:rPr>
                <w:rFonts w:ascii="Calibri" w:hAnsi="Calibri"/>
                <w:color w:val="000000"/>
                <w:sz w:val="19"/>
              </w:rPr>
              <w:t xml:space="preserve">404</w:t>
            </w:r>
          </w:p>
        </w:tc>
        <w:tc>
          <w:tcPr>
            <w:tcW w:w="1300" w:type="dxa"/>
          </w:tcPr>
          <w:p>
            <w:r>
              <w:rPr>
                <w:rFonts w:ascii="Calibri" w:hAnsi="Calibri"/>
                <w:color w:val="000000"/>
                <w:sz w:val="19"/>
              </w:rPr>
              <w:t xml:space="preserve">text/html</w:t>
            </w:r>
          </w:p>
        </w:tc>
        <w:tc>
          <w:tcPr>
            <w:tcW w:w="4600" w:type="dxa"/>
          </w:tcPr>
          <w:p>
            <w:r>
              <w:rPr>
                <w:rFonts w:ascii="Calibri" w:hAnsi="Calibri"/>
                <w:color w:val="000000"/>
                <w:sz w:val="19"/>
              </w:rPr>
              <w:t xml:space="preserve">Ficha antigua usada en el primer informe.</w:t>
            </w:r>
          </w:p>
        </w:tc>
      </w:tr>
      <w:tr>
        <w:trPr>
          <w:cantSplit/>
        </w:trPr>
        <w:tc>
          <w:tcPr>
            <w:tcW w:w="2500" w:type="dxa"/>
          </w:tcPr>
          <w:p>
            <w:r>
              <w:rPr>
                <w:rFonts w:ascii="Calibri" w:hAnsi="Calibri"/>
                <w:color w:val="000000"/>
                <w:sz w:val="19"/>
              </w:rPr>
              <w:t xml:space="preserve">https://api-kobo.cepal.org/</w:t>
            </w:r>
          </w:p>
        </w:tc>
        <w:tc>
          <w:tcPr>
            <w:tcW w:w="960" w:type="dxa"/>
          </w:tcPr>
          <w:p>
            <w:r>
              <w:rPr>
                <w:rFonts w:ascii="Calibri" w:hAnsi="Calibri"/>
                <w:color w:val="000000"/>
                <w:sz w:val="19"/>
              </w:rPr>
              <w:t xml:space="preserve">200</w:t>
            </w:r>
          </w:p>
        </w:tc>
        <w:tc>
          <w:tcPr>
            <w:tcW w:w="1300" w:type="dxa"/>
          </w:tcPr>
          <w:p>
            <w:r>
              <w:rPr>
                <w:rFonts w:ascii="Calibri" w:hAnsi="Calibri"/>
                <w:color w:val="000000"/>
                <w:sz w:val="19"/>
              </w:rPr>
              <w:t xml:space="preserve">application/json</w:t>
            </w:r>
          </w:p>
        </w:tc>
        <w:tc>
          <w:tcPr>
            <w:tcW w:w="4600" w:type="dxa"/>
          </w:tcPr>
          <w:p>
            <w:r>
              <w:rPr>
                <w:rFonts w:ascii="Calibri" w:hAnsi="Calibri"/>
                <w:color w:val="000000"/>
                <w:sz w:val="19"/>
              </w:rPr>
              <w:t xml:space="preserve">La API declara versión 2.0.0, pero no enlaza documentación.</w:t>
            </w:r>
          </w:p>
        </w:tc>
      </w:tr>
      <w:tr>
        <w:trPr>
          <w:cantSplit/>
        </w:trPr>
        <w:tc>
          <w:tcPr>
            <w:tcW w:w="2500" w:type="dxa"/>
          </w:tcPr>
          <w:p>
            <w:r>
              <w:rPr>
                <w:rFonts w:ascii="Calibri" w:hAnsi="Calibri"/>
                <w:color w:val="000000"/>
                <w:sz w:val="19"/>
              </w:rPr>
              <w:t xml:space="preserve">API de planes sin filtro</w:t>
            </w:r>
          </w:p>
        </w:tc>
        <w:tc>
          <w:tcPr>
            <w:tcW w:w="960" w:type="dxa"/>
          </w:tcPr>
          <w:p>
            <w:r>
              <w:rPr>
                <w:rFonts w:ascii="Calibri" w:hAnsi="Calibri"/>
                <w:color w:val="000000"/>
                <w:sz w:val="19"/>
              </w:rPr>
              <w:t xml:space="preserve">200</w:t>
            </w:r>
          </w:p>
        </w:tc>
        <w:tc>
          <w:tcPr>
            <w:tcW w:w="1300" w:type="dxa"/>
          </w:tcPr>
          <w:p>
            <w:r>
              <w:rPr>
                <w:rFonts w:ascii="Calibri" w:hAnsi="Calibri"/>
                <w:color w:val="000000"/>
                <w:sz w:val="19"/>
              </w:rPr>
              <w:t xml:space="preserve">application/json, 1.558.998 bytes</w:t>
            </w:r>
          </w:p>
        </w:tc>
        <w:tc>
          <w:tcPr>
            <w:tcW w:w="4600" w:type="dxa"/>
          </w:tcPr>
          <w:p>
            <w:r>
              <w:rPr>
                <w:rFonts w:ascii="Calibri" w:hAnsi="Calibri"/>
                <w:color w:val="000000"/>
                <w:sz w:val="19"/>
              </w:rPr>
              <w:t xml:space="preserve">Devuelve 366 registros y CORS *.</w:t>
            </w:r>
          </w:p>
        </w:tc>
      </w:tr>
      <w:tr>
        <w:trPr>
          <w:cantSplit/>
        </w:trPr>
        <w:tc>
          <w:tcPr>
            <w:tcW w:w="2500" w:type="dxa"/>
          </w:tcPr>
          <w:p>
            <w:r>
              <w:rPr>
                <w:rFonts w:ascii="Calibri" w:hAnsi="Calibri"/>
                <w:color w:val="000000"/>
                <w:sz w:val="19"/>
              </w:rPr>
              <w:t xml:space="preserve">API de planes con consulta de aprobados</w:t>
            </w:r>
          </w:p>
        </w:tc>
        <w:tc>
          <w:tcPr>
            <w:tcW w:w="960" w:type="dxa"/>
          </w:tcPr>
          <w:p>
            <w:r>
              <w:rPr>
                <w:rFonts w:ascii="Calibri" w:hAnsi="Calibri"/>
                <w:color w:val="000000"/>
                <w:sz w:val="19"/>
              </w:rPr>
              <w:t xml:space="preserve">502</w:t>
            </w:r>
          </w:p>
        </w:tc>
        <w:tc>
          <w:tcPr>
            <w:tcW w:w="1300" w:type="dxa"/>
          </w:tcPr>
          <w:p>
            <w:r>
              <w:rPr>
                <w:rFonts w:ascii="Calibri" w:hAnsi="Calibri"/>
                <w:color w:val="000000"/>
                <w:sz w:val="19"/>
              </w:rPr>
              <w:t xml:space="preserve">application/json</w:t>
            </w:r>
          </w:p>
        </w:tc>
        <w:tc>
          <w:tcPr>
            <w:tcW w:w="4600" w:type="dxa"/>
          </w:tcPr>
          <w:p>
            <w:r>
              <w:rPr>
                <w:rFonts w:ascii="Calibri" w:hAnsi="Calibri"/>
                <w:color w:val="000000"/>
                <w:sz w:val="19"/>
              </w:rPr>
              <w:t xml:space="preserve">Falla la misma familia de parámetros usada por la interfaz.</w:t>
            </w:r>
          </w:p>
        </w:tc>
      </w:tr>
      <w:tr>
        <w:trPr>
          <w:cantSplit/>
        </w:trPr>
        <w:tc>
          <w:tcPr>
            <w:tcW w:w="2500" w:type="dxa"/>
          </w:tcPr>
          <w:p>
            <w:r>
              <w:rPr>
                <w:rFonts w:ascii="Calibri" w:hAnsi="Calibri"/>
                <w:color w:val="000000"/>
                <w:sz w:val="19"/>
              </w:rPr>
              <w:t xml:space="preserve">/docs, /openapi.json, /swagger.json, /redoc en la API</w:t>
            </w:r>
          </w:p>
        </w:tc>
        <w:tc>
          <w:tcPr>
            <w:tcW w:w="960" w:type="dxa"/>
          </w:tcPr>
          <w:p>
            <w:r>
              <w:rPr>
                <w:rFonts w:ascii="Calibri" w:hAnsi="Calibri"/>
                <w:color w:val="000000"/>
                <w:sz w:val="19"/>
              </w:rPr>
              <w:t xml:space="preserve">404</w:t>
            </w:r>
          </w:p>
        </w:tc>
        <w:tc>
          <w:tcPr>
            <w:tcW w:w="1300" w:type="dxa"/>
          </w:tcPr>
          <w:p>
            <w:r>
              <w:rPr>
                <w:rFonts w:ascii="Calibri" w:hAnsi="Calibri"/>
                <w:color w:val="000000"/>
                <w:sz w:val="19"/>
              </w:rPr>
              <w:t xml:space="preserve">—</w:t>
            </w:r>
          </w:p>
        </w:tc>
        <w:tc>
          <w:tcPr>
            <w:tcW w:w="4600" w:type="dxa"/>
          </w:tcPr>
          <w:p>
            <w:r>
              <w:rPr>
                <w:rFonts w:ascii="Calibri" w:hAnsi="Calibri"/>
                <w:color w:val="000000"/>
                <w:sz w:val="19"/>
              </w:rPr>
              <w:t xml:space="preserve">No se descubrió documentación ni contrato ejecutable.</w:t>
            </w:r>
          </w:p>
        </w:tc>
      </w:tr>
    </w:tbl>
    <w:p>
      <w:pPr>
        <w:spacing w:after="120"/>
      </w:pPr>
    </w:p>
    <w:p>
      <w:pPr>
        <w:pStyle w:val="Heading2"/>
        <w:spacing w:before="240" w:after="120" w:line="264" w:lineRule="auto"/>
        <w:widowControl/>
      </w:pPr>
      <w:r>
        <w:rPr>
          <w:rFonts w:ascii="Calibri" w:hAnsi="Calibri"/>
          <w:color w:val="000000"/>
          <w:sz w:val="22"/>
        </w:rPr>
        <w:t xml:space="preserve">Redirecciones y HTTPS</w:t>
      </w:r>
    </w:p>
    <w:p>
      <w:pPr>
        <w:pStyle w:val="Normal"/>
        <w:spacing w:before="0" w:after="120" w:line="264" w:lineRule="auto"/>
        <w:widowControl/>
      </w:pPr>
      <w:r>
        <w:rPr>
          <w:rFonts w:ascii="Calibri" w:hAnsi="Calibri"/>
          <w:color w:val="000000"/>
          <w:sz w:val="22"/>
        </w:rPr>
        <w:t xml:space="preserve">La raíz HTTP redirige hacia HTTPS, pero la raíz HTTPS respondió con Location: http://observatorioplanificacion.cepal.org/es/, es decir, una redirección de degradación a HTTP. Además, la cabecera HSTS observada fue max-age="300," solo cinco minutos.</w:t>
      </w:r>
    </w:p>
    <w:p>
      <w:pPr>
        <w:pStyle w:val="Normal"/>
        <w:spacing w:before="0" w:after="120" w:line="264" w:lineRule="auto"/>
        <w:widowControl/>
      </w:pPr>
      <w:r>
        <w:rPr>
          <w:rFonts w:ascii="Calibri" w:hAnsi="Calibri"/>
          <w:color w:val="000000"/>
          <w:sz w:val="22"/>
        </w:rPr>
        <w:t xml:space="preserve">Clasificación: Verificado. Debe corregirse la cadena para terminar directamente en una única URL HTTPS y ampliarse HSTS después de validar todos los subdominios aplicables.</w:t>
      </w:r>
    </w:p>
    <w:p>
      <w:pPr>
        <w:pStyle w:val="Heading2"/>
        <w:spacing w:before="240" w:after="120" w:line="264" w:lineRule="auto"/>
        <w:widowControl/>
      </w:pPr>
      <w:r>
        <w:rPr>
          <w:rFonts w:ascii="Calibri" w:hAnsi="Calibri"/>
          <w:color w:val="000000"/>
          <w:sz w:val="22"/>
        </w:rPr>
        <w:t xml:space="preserve">Metadatos iniciales</w:t>
      </w:r>
    </w:p>
    <w:p>
      <w:pPr>
        <w:pStyle w:val="Normal"/>
        <w:spacing w:before="0" w:after="120" w:line="264" w:lineRule="auto"/>
        <w:widowControl/>
      </w:pPr>
      <w:r>
        <w:rPr>
          <w:rFonts w:ascii="Calibri" w:hAnsi="Calibri"/>
          <w:color w:val="000000"/>
          <w:sz w:val="22"/>
        </w:rPr>
        <w:t xml:space="preserve">En la muestra de rutas actuales se observó:</w:t>
      </w:r>
    </w:p>
    <w:p>
      <w:pPr>
        <w:pStyle w:val="Normal"/>
        <w:spacing w:before="0" w:after="160" w:line="264" w:lineRule="auto"/>
        <w:widowControl/>
        <w:numPr>
          <w:ilvl w:val="0"/>
          <w:numId w:val="1"/>
        </w:numPr>
        <w:ind w:left="720" w:hanging="360"/>
      </w:pPr>
      <w:r>
        <w:rPr>
          <w:rFonts w:ascii="Calibri" w:hAnsi="Calibri"/>
          <w:color w:val="000000"/>
          <w:sz w:val="22"/>
        </w:rPr>
        <w:t xml:space="preserve">Un &lt;title&gt; por shell, normalmente genérico.</w:t>
      </w:r>
    </w:p>
    <w:p>
      <w:pPr>
        <w:pStyle w:val="Normal"/>
        <w:spacing w:before="0" w:after="160" w:line="264" w:lineRule="auto"/>
        <w:widowControl/>
        <w:numPr>
          <w:ilvl w:val="0"/>
          <w:numId w:val="1"/>
        </w:numPr>
        <w:ind w:left="720" w:hanging="360"/>
      </w:pPr>
      <w:r>
        <w:rPr>
          <w:rFonts w:ascii="Calibri" w:hAnsi="Calibri"/>
          <w:color w:val="000000"/>
          <w:sz w:val="22"/>
        </w:rPr>
        <w:t xml:space="preserve">Cero descripciones meta.</w:t>
      </w:r>
    </w:p>
    <w:p>
      <w:pPr>
        <w:pStyle w:val="Normal"/>
        <w:spacing w:before="0" w:after="160" w:line="264" w:lineRule="auto"/>
        <w:widowControl/>
        <w:numPr>
          <w:ilvl w:val="0"/>
          <w:numId w:val="1"/>
        </w:numPr>
        <w:ind w:left="720" w:hanging="360"/>
      </w:pPr>
      <w:r>
        <w:rPr>
          <w:rFonts w:ascii="Calibri" w:hAnsi="Calibri"/>
          <w:color w:val="000000"/>
          <w:sz w:val="22"/>
        </w:rPr>
        <w:t xml:space="preserve">Cero enlaces canónicos.</w:t>
      </w:r>
    </w:p>
    <w:p>
      <w:pPr>
        <w:pStyle w:val="Normal"/>
        <w:spacing w:before="0" w:after="160" w:line="264" w:lineRule="auto"/>
        <w:widowControl/>
        <w:numPr>
          <w:ilvl w:val="0"/>
          <w:numId w:val="1"/>
        </w:numPr>
        <w:ind w:left="720" w:hanging="360"/>
      </w:pPr>
      <w:r>
        <w:rPr>
          <w:rFonts w:ascii="Calibri" w:hAnsi="Calibri"/>
          <w:color w:val="000000"/>
          <w:sz w:val="22"/>
        </w:rPr>
        <w:t xml:space="preserve">Cero bloques JSON-LD.</w:t>
      </w:r>
    </w:p>
    <w:p>
      <w:pPr>
        <w:pStyle w:val="Normal"/>
        <w:spacing w:before="0" w:after="160" w:line="264" w:lineRule="auto"/>
        <w:widowControl/>
        <w:numPr>
          <w:ilvl w:val="0"/>
          <w:numId w:val="1"/>
        </w:numPr>
        <w:ind w:left="720" w:hanging="360"/>
      </w:pPr>
      <w:r>
        <w:rPr>
          <w:rFonts w:ascii="Calibri" w:hAnsi="Calibri"/>
          <w:color w:val="000000"/>
          <w:sz w:val="22"/>
        </w:rPr>
        <w:t xml:space="preserve">Cero H1 en las shells principales.</w:t>
      </w:r>
    </w:p>
    <w:p>
      <w:pPr>
        <w:pStyle w:val="Normal"/>
        <w:spacing w:before="0" w:after="160" w:line="264" w:lineRule="auto"/>
        <w:widowControl/>
        <w:numPr>
          <w:ilvl w:val="0"/>
          <w:numId w:val="1"/>
        </w:numPr>
        <w:ind w:left="720" w:hanging="360"/>
      </w:pPr>
      <w:r>
        <w:rPr>
          <w:rFonts w:ascii="Calibri" w:hAnsi="Calibri"/>
          <w:color w:val="000000"/>
          <w:sz w:val="22"/>
        </w:rPr>
        <w:t xml:space="preserve">Cero &lt;main&gt; y cero alternativa &lt;noscript&gt;.</w:t>
      </w:r>
    </w:p>
    <w:p>
      <w:pPr>
        <w:pStyle w:val="Normal"/>
        <w:spacing w:before="0" w:after="160" w:line="264" w:lineRule="auto"/>
        <w:widowControl/>
        <w:numPr>
          <w:ilvl w:val="0"/>
          <w:numId w:val="1"/>
        </w:numPr>
        <w:ind w:left="720" w:hanging="360"/>
      </w:pPr>
      <w:r>
        <w:rPr>
          <w:rFonts w:ascii="Calibri" w:hAnsi="Calibri"/>
          <w:color w:val="000000"/>
          <w:sz w:val="22"/>
        </w:rPr>
        <w:t xml:space="preserve">Ausencia de atributo lang en el elemento &lt;html&gt; de las shells inspeccionadas.</w:t>
      </w:r>
    </w:p>
    <w:p>
      <w:pPr>
        <w:pStyle w:val="Normal"/>
        <w:spacing w:before="0" w:after="120" w:line="264" w:lineRule="auto"/>
        <w:widowControl/>
      </w:pPr>
      <w:r>
        <w:rPr>
          <w:rFonts w:ascii="Calibri" w:hAnsi="Calibri"/>
          <w:color w:val="000000"/>
          <w:sz w:val="22"/>
        </w:rPr>
        <w:t xml:space="preserve">Clasificación: Verificado. Algunos fragmentos internos contienen encabezados, pero eso no sustituye metadatos y contenido semántico en la URL pública inicial.</w:t>
      </w:r>
    </w:p>
    <w:p>
      <w:pPr>
        <w:pStyle w:val="Heading1"/>
        <w:spacing w:before="320" w:after="160" w:line="264" w:lineRule="auto"/>
        <w:widowControl/>
      </w:pPr>
      <w:r>
        <w:rPr>
          <w:rFonts w:ascii="Calibri" w:hAnsi="Calibri"/>
          <w:color w:val="000000"/>
          <w:sz w:val="22"/>
        </w:rPr>
        <w:t xml:space="preserve">6. API, calidad de datos y capacidad de los agentes</w:t>
      </w:r>
    </w:p>
    <w:p>
      <w:pPr>
        <w:pStyle w:val="Heading2"/>
        <w:spacing w:before="240" w:after="120" w:line="264" w:lineRule="auto"/>
        <w:widowControl/>
      </w:pPr>
      <w:r>
        <w:rPr>
          <w:rFonts w:ascii="Calibri" w:hAnsi="Calibri"/>
          <w:color w:val="000000"/>
          <w:sz w:val="22"/>
        </w:rPr>
        <w:t xml:space="preserve">6.1 Lo que funciona</w:t>
      </w:r>
    </w:p>
    <w:p>
      <w:pPr>
        <w:pStyle w:val="Normal"/>
        <w:spacing w:before="0" w:after="120" w:line="264" w:lineRule="auto"/>
        <w:widowControl/>
      </w:pPr>
      <w:r>
        <w:rPr>
          <w:rFonts w:ascii="Calibri" w:hAnsi="Calibri"/>
          <w:color w:val="000000"/>
          <w:sz w:val="22"/>
        </w:rPr>
        <w:t xml:space="preserve">La colección completa de planes respondió 200 OK, con Content-Type: application/json, Access-Control-Allow-Origin: * y 366 registros. Los scripts revelan conjuntos equivalentes para instituciones, marcos normativos, metodologías y sistemas nacionales.</w:t>
      </w:r>
    </w:p>
    <w:p>
      <w:pPr>
        <w:pStyle w:val="Normal"/>
        <w:spacing w:before="0" w:after="120" w:line="264" w:lineRule="auto"/>
        <w:widowControl/>
      </w:pPr>
      <w:r>
        <w:rPr>
          <w:rFonts w:ascii="Calibri" w:hAnsi="Calibri"/>
          <w:color w:val="000000"/>
          <w:sz w:val="22"/>
        </w:rPr>
        <w:t xml:space="preserve">En el conjunto de planes se identificaron 360 registros con estado Approved, uno Not Approved y cinco On Hold. Los registros aprobados abarcan 33 países y seis temas.</w:t>
      </w:r>
    </w:p>
    <w:p>
      <w:pPr>
        <w:pStyle w:val="Normal"/>
        <w:spacing w:before="0" w:after="120" w:line="264" w:lineRule="auto"/>
        <w:widowControl/>
      </w:pPr>
      <w:r>
        <w:rPr>
          <w:rFonts w:ascii="Calibri" w:hAnsi="Calibri"/>
          <w:color w:val="000000"/>
          <w:sz w:val="22"/>
        </w:rPr>
        <w:t xml:space="preserve">Clasificación: Verificado.</w:t>
      </w:r>
    </w:p>
    <w:p>
      <w:pPr>
        <w:pStyle w:val="Heading2"/>
        <w:spacing w:before="240" w:after="120" w:line="264" w:lineRule="auto"/>
        <w:widowControl/>
      </w:pPr>
      <w:r>
        <w:rPr>
          <w:rFonts w:ascii="Calibri" w:hAnsi="Calibri"/>
          <w:color w:val="000000"/>
          <w:sz w:val="22"/>
        </w:rPr>
        <w:t xml:space="preserve">6.2 Lo que falla</w:t>
      </w:r>
    </w:p>
    <w:p>
      <w:pPr>
        <w:pStyle w:val="Normal"/>
        <w:spacing w:before="0" w:after="120" w:line="264" w:lineRule="auto"/>
        <w:widowControl/>
      </w:pPr>
      <w:r>
        <w:rPr>
          <w:rFonts w:ascii="Calibri" w:hAnsi="Calibri"/>
          <w:color w:val="000000"/>
          <w:sz w:val="22"/>
        </w:rPr>
        <w:t xml:space="preserve">Las pruebas con query, fields e identificador devolvieron 502 con el mensaje Failed to fetch data from Kobo. El código de la interfaz solicita normalmente:</w:t>
      </w:r>
    </w:p>
    <w:p>
      <w:pPr>
        <w:pStyle w:val="Code"/>
        <w:spacing w:before="80" w:after="160" w:line="264" w:lineRule="auto"/>
        <w:widowControl/>
        <w:shd w:val="clear" w:fill="F2F4F7"/>
      </w:pPr>
      <w:r>
        <w:rPr>
          <w:rFonts w:ascii="Calibri" w:hAnsi="Calibri"/>
          <w:color w:val="000000"/>
          <w:sz w:val="22"/>
        </w:rPr>
        <w:t xml:space="preserve">query={"_validation_status.label":"Approved"}</w:t>
      </w:r>
    </w:p>
    <w:p>
      <w:pPr>
        <w:pStyle w:val="Normal"/>
        <w:spacing w:before="0" w:after="120" w:line="264" w:lineRule="auto"/>
        <w:widowControl/>
      </w:pPr>
      <w:r>
        <w:rPr>
          <w:rFonts w:ascii="Calibri" w:hAnsi="Calibri"/>
          <w:color w:val="000000"/>
          <w:sz w:val="22"/>
        </w:rPr>
        <w:t xml:space="preserve">Por tanto, el endpoint base disponible no demuestra que los listados y fichas puedan poblarse correctamente en este momento; la llamada concreta que intenta usar el portal falló durante la auditoría.</w:t>
      </w:r>
    </w:p>
    <w:p>
      <w:pPr>
        <w:pStyle w:val="Normal"/>
        <w:spacing w:before="0" w:after="120" w:line="264" w:lineRule="auto"/>
        <w:widowControl/>
      </w:pPr>
      <w:r>
        <w:rPr>
          <w:rFonts w:ascii="Calibri" w:hAnsi="Calibri"/>
          <w:color w:val="000000"/>
          <w:sz w:val="22"/>
        </w:rPr>
        <w:t xml:space="preserve">Clasificación: Verificado para la API; impacto en la interfaz inferido, porque no se confirmó visualmente el DOM final.</w:t>
      </w:r>
    </w:p>
    <w:p>
      <w:pPr>
        <w:pStyle w:val="Heading2"/>
        <w:spacing w:before="240" w:after="120" w:line="264" w:lineRule="auto"/>
        <w:widowControl/>
      </w:pPr>
      <w:r>
        <w:rPr>
          <w:rFonts w:ascii="Calibri" w:hAnsi="Calibri"/>
          <w:color w:val="000000"/>
          <w:sz w:val="22"/>
        </w:rPr>
        <w:t xml:space="preserve">6.3 Riesgos para agentes</w:t>
      </w:r>
    </w:p>
    <w:p>
      <w:pPr>
        <w:pStyle w:val="Normal"/>
        <w:spacing w:before="0" w:after="160" w:line="264" w:lineRule="auto"/>
        <w:widowControl/>
        <w:numPr>
          <w:ilvl w:val="0"/>
          <w:numId w:val="1"/>
        </w:numPr>
        <w:ind w:left="720" w:hanging="360"/>
      </w:pPr>
      <w:r>
        <w:rPr>
          <w:rFonts w:ascii="Calibri" w:hAnsi="Calibri"/>
          <w:color w:val="000000"/>
          <w:sz w:val="22"/>
        </w:rPr>
        <w:t xml:space="preserve">Un agente que consuma la colección completa debe filtrar por sí mismo estados editoriales.</w:t>
      </w:r>
    </w:p>
    <w:p>
      <w:pPr>
        <w:pStyle w:val="Normal"/>
        <w:spacing w:before="0" w:after="160" w:line="264" w:lineRule="auto"/>
        <w:widowControl/>
        <w:numPr>
          <w:ilvl w:val="0"/>
          <w:numId w:val="1"/>
        </w:numPr>
        <w:ind w:left="720" w:hanging="360"/>
      </w:pPr>
      <w:r>
        <w:rPr>
          <w:rFonts w:ascii="Calibri" w:hAnsi="Calibri"/>
          <w:color w:val="000000"/>
          <w:sz w:val="22"/>
        </w:rPr>
        <w:t xml:space="preserve">La respuesta incluye metadatos internos, UUID, usuario de envío y campos de validación.</w:t>
      </w:r>
    </w:p>
    <w:p>
      <w:pPr>
        <w:pStyle w:val="Normal"/>
        <w:spacing w:before="0" w:after="160" w:line="264" w:lineRule="auto"/>
        <w:widowControl/>
        <w:numPr>
          <w:ilvl w:val="0"/>
          <w:numId w:val="1"/>
        </w:numPr>
        <w:ind w:left="720" w:hanging="360"/>
      </w:pPr>
      <w:r>
        <w:rPr>
          <w:rFonts w:ascii="Calibri" w:hAnsi="Calibri"/>
          <w:color w:val="000000"/>
          <w:sz w:val="22"/>
        </w:rPr>
        <w:t xml:space="preserve">Se encontró al menos un registro aprobado con campos parsererror, señal de contenido mal formado.</w:t>
      </w:r>
    </w:p>
    <w:p>
      <w:pPr>
        <w:pStyle w:val="Normal"/>
        <w:spacing w:before="0" w:after="160" w:line="264" w:lineRule="auto"/>
        <w:widowControl/>
        <w:numPr>
          <w:ilvl w:val="0"/>
          <w:numId w:val="1"/>
        </w:numPr>
        <w:ind w:left="720" w:hanging="360"/>
      </w:pPr>
      <w:r>
        <w:rPr>
          <w:rFonts w:ascii="Calibri" w:hAnsi="Calibri"/>
          <w:color w:val="000000"/>
          <w:sz w:val="22"/>
        </w:rPr>
        <w:t xml:space="preserve">No existe un esquema público que defina campos, valores enumerados, relaciones o compatibilidad futura.</w:t>
      </w:r>
    </w:p>
    <w:p>
      <w:pPr>
        <w:pStyle w:val="Normal"/>
        <w:spacing w:before="0" w:after="160" w:line="264" w:lineRule="auto"/>
        <w:widowControl/>
        <w:numPr>
          <w:ilvl w:val="0"/>
          <w:numId w:val="1"/>
        </w:numPr>
        <w:ind w:left="720" w:hanging="360"/>
      </w:pPr>
      <w:r>
        <w:rPr>
          <w:rFonts w:ascii="Calibri" w:hAnsi="Calibri"/>
          <w:color w:val="000000"/>
          <w:sz w:val="22"/>
        </w:rPr>
        <w:t xml:space="preserve">No hay paginación, filtros y ejemplos documentados para consumo seguro.</w:t>
      </w:r>
    </w:p>
    <w:p>
      <w:pPr>
        <w:pStyle w:val="Normal"/>
        <w:spacing w:before="0" w:after="160" w:line="264" w:lineRule="auto"/>
        <w:widowControl/>
        <w:numPr>
          <w:ilvl w:val="0"/>
          <w:numId w:val="1"/>
        </w:numPr>
        <w:ind w:left="720" w:hanging="360"/>
      </w:pPr>
      <w:r>
        <w:rPr>
          <w:rFonts w:ascii="Calibri" w:hAnsi="Calibri"/>
          <w:color w:val="000000"/>
          <w:sz w:val="22"/>
        </w:rPr>
        <w:t xml:space="preserve">Los documentos externos sí utilizan URLs directas y estables en documentosexternos.cepal.org, lo que constituye una base favorable para citación documental.</w:t>
      </w:r>
    </w:p>
    <w:p>
      <w:pPr>
        <w:pStyle w:val="Heading2"/>
        <w:spacing w:before="240" w:after="120" w:line="264" w:lineRule="auto"/>
        <w:widowControl/>
      </w:pPr>
      <w:r>
        <w:rPr>
          <w:rFonts w:ascii="Calibri" w:hAnsi="Calibri"/>
          <w:color w:val="000000"/>
          <w:sz w:val="22"/>
        </w:rPr>
        <w:t xml:space="preserve">6.4 Conjuntos identificados</w:t>
      </w:r>
    </w:p>
    <w:tbl>
      <w:tblPr>
        <w:tblW w:w="9360" w:type="dxa"/>
        <w:tblInd w:w="120" w:type="dxa"/>
        <w:tblLayout w:type="fixed"/>
        <w:tblBorders>
          <w:top w:val="single" w:sz="4" w:color="B7C3D0"/>
          <w:left w:val="single" w:sz="4" w:color="B7C3D0"/>
          <w:bottom w:val="single" w:sz="4" w:color="B7C3D0"/>
          <w:right w:val="single" w:sz="4" w:color="B7C3D0"/>
          <w:insideH w:val="single" w:sz="4" w:color="D4DAE1"/>
          <w:insideV w:val="single" w:sz="4" w:color="D4DAE1"/>
        </w:tblBorders>
      </w:tblPr>
      <w:tblGrid>
        <w:gridCol w:w="2700"/>
        <w:gridCol w:w="6660"/>
      </w:tblGrid>
      <w:tr>
        <w:trPr>
          <w:cantSplit/>
          <w:tblHeader/>
        </w:trPr>
        <w:tc>
          <w:tcPr>
            <w:tcW w:w="2700" w:type="dxa"/>
            <w:shd w:val="clear" w:fill="F2F4F7"/>
          </w:tcPr>
          <w:p>
            <w:r>
              <w:rPr>
                <w:rFonts w:ascii="Calibri" w:hAnsi="Calibri"/>
                <w:b/>
                <w:color w:val="000000"/>
                <w:sz w:val="19"/>
              </w:rPr>
              <w:t xml:space="preserve">Colección</w:t>
            </w:r>
          </w:p>
        </w:tc>
        <w:tc>
          <w:tcPr>
            <w:tcW w:w="6660" w:type="dxa"/>
            <w:shd w:val="clear" w:fill="F2F4F7"/>
          </w:tcPr>
          <w:p>
            <w:r>
              <w:rPr>
                <w:rFonts w:ascii="Calibri" w:hAnsi="Calibri"/>
                <w:b/>
                <w:color w:val="000000"/>
                <w:sz w:val="19"/>
              </w:rPr>
              <w:t xml:space="preserve">Identificador observado</w:t>
            </w:r>
          </w:p>
        </w:tc>
      </w:tr>
      <w:tr>
        <w:trPr>
          <w:cantSplit/>
        </w:trPr>
        <w:tc>
          <w:tcPr>
            <w:tcW w:w="2700" w:type="dxa"/>
          </w:tcPr>
          <w:p>
            <w:r>
              <w:rPr>
                <w:rFonts w:ascii="Calibri" w:hAnsi="Calibri"/>
                <w:color w:val="000000"/>
                <w:sz w:val="19"/>
              </w:rPr>
              <w:t xml:space="preserve">Planes</w:t>
            </w:r>
          </w:p>
        </w:tc>
        <w:tc>
          <w:tcPr>
            <w:tcW w:w="6660" w:type="dxa"/>
          </w:tcPr>
          <w:p>
            <w:r>
              <w:rPr>
                <w:rFonts w:ascii="Calibri" w:hAnsi="Calibri"/>
                <w:color w:val="000000"/>
                <w:sz w:val="19"/>
              </w:rPr>
              <w:t xml:space="preserve">aPJUaqc6gbHKCdcXQV3bYh</w:t>
            </w:r>
          </w:p>
        </w:tc>
      </w:tr>
      <w:tr>
        <w:trPr>
          <w:cantSplit/>
        </w:trPr>
        <w:tc>
          <w:tcPr>
            <w:tcW w:w="2700" w:type="dxa"/>
          </w:tcPr>
          <w:p>
            <w:r>
              <w:rPr>
                <w:rFonts w:ascii="Calibri" w:hAnsi="Calibri"/>
                <w:color w:val="000000"/>
                <w:sz w:val="19"/>
              </w:rPr>
              <w:t xml:space="preserve">Instituciones</w:t>
            </w:r>
          </w:p>
        </w:tc>
        <w:tc>
          <w:tcPr>
            <w:tcW w:w="6660" w:type="dxa"/>
          </w:tcPr>
          <w:p>
            <w:r>
              <w:rPr>
                <w:rFonts w:ascii="Calibri" w:hAnsi="Calibri"/>
                <w:color w:val="000000"/>
                <w:sz w:val="19"/>
              </w:rPr>
              <w:t xml:space="preserve">aMXsEC6SyQngvcTa3fSC93</w:t>
            </w:r>
          </w:p>
        </w:tc>
      </w:tr>
      <w:tr>
        <w:trPr>
          <w:cantSplit/>
        </w:trPr>
        <w:tc>
          <w:tcPr>
            <w:tcW w:w="2700" w:type="dxa"/>
          </w:tcPr>
          <w:p>
            <w:r>
              <w:rPr>
                <w:rFonts w:ascii="Calibri" w:hAnsi="Calibri"/>
                <w:color w:val="000000"/>
                <w:sz w:val="19"/>
              </w:rPr>
              <w:t xml:space="preserve">Marcos normativos</w:t>
            </w:r>
          </w:p>
        </w:tc>
        <w:tc>
          <w:tcPr>
            <w:tcW w:w="6660" w:type="dxa"/>
          </w:tcPr>
          <w:p>
            <w:r>
              <w:rPr>
                <w:rFonts w:ascii="Calibri" w:hAnsi="Calibri"/>
                <w:color w:val="000000"/>
                <w:sz w:val="19"/>
              </w:rPr>
              <w:t xml:space="preserve">aqpKMBhQZJ7QXra8gcyJnn</w:t>
            </w:r>
          </w:p>
        </w:tc>
      </w:tr>
      <w:tr>
        <w:trPr>
          <w:cantSplit/>
        </w:trPr>
        <w:tc>
          <w:tcPr>
            <w:tcW w:w="2700" w:type="dxa"/>
          </w:tcPr>
          <w:p>
            <w:r>
              <w:rPr>
                <w:rFonts w:ascii="Calibri" w:hAnsi="Calibri"/>
                <w:color w:val="000000"/>
                <w:sz w:val="19"/>
              </w:rPr>
              <w:t xml:space="preserve">Metodologías</w:t>
            </w:r>
          </w:p>
        </w:tc>
        <w:tc>
          <w:tcPr>
            <w:tcW w:w="6660" w:type="dxa"/>
          </w:tcPr>
          <w:p>
            <w:r>
              <w:rPr>
                <w:rFonts w:ascii="Calibri" w:hAnsi="Calibri"/>
                <w:color w:val="000000"/>
                <w:sz w:val="19"/>
              </w:rPr>
              <w:t xml:space="preserve">agFKiPAwFWfTF2Zfeh9UN9</w:t>
            </w:r>
          </w:p>
        </w:tc>
      </w:tr>
      <w:tr>
        <w:trPr>
          <w:cantSplit/>
        </w:trPr>
        <w:tc>
          <w:tcPr>
            <w:tcW w:w="2700" w:type="dxa"/>
          </w:tcPr>
          <w:p>
            <w:r>
              <w:rPr>
                <w:rFonts w:ascii="Calibri" w:hAnsi="Calibri"/>
                <w:color w:val="000000"/>
                <w:sz w:val="19"/>
              </w:rPr>
              <w:t xml:space="preserve">Sistemas nacionales de planificación</w:t>
            </w:r>
          </w:p>
        </w:tc>
        <w:tc>
          <w:tcPr>
            <w:tcW w:w="6660" w:type="dxa"/>
          </w:tcPr>
          <w:p>
            <w:r>
              <w:rPr>
                <w:rFonts w:ascii="Calibri" w:hAnsi="Calibri"/>
                <w:color w:val="000000"/>
                <w:sz w:val="19"/>
              </w:rPr>
              <w:t xml:space="preserve">auat7fCzxrGEmcpQWiTZLu</w:t>
            </w:r>
          </w:p>
        </w:tc>
      </w:tr>
      <w:tr>
        <w:trPr>
          <w:cantSplit/>
        </w:trPr>
        <w:tc>
          <w:tcPr>
            <w:tcW w:w="2700" w:type="dxa"/>
          </w:tcPr>
          <w:p>
            <w:r>
              <w:rPr>
                <w:rFonts w:ascii="Calibri" w:hAnsi="Calibri"/>
                <w:color w:val="000000"/>
                <w:sz w:val="19"/>
              </w:rPr>
              <w:t xml:space="preserve">Sistemas nacionales de inversión pública</w:t>
            </w:r>
          </w:p>
        </w:tc>
        <w:tc>
          <w:tcPr>
            <w:tcW w:w="6660" w:type="dxa"/>
          </w:tcPr>
          <w:p>
            <w:r>
              <w:rPr>
                <w:rFonts w:ascii="Calibri" w:hAnsi="Calibri"/>
                <w:color w:val="000000"/>
                <w:sz w:val="19"/>
              </w:rPr>
              <w:t xml:space="preserve">aLtk2nwgLUq4A4hNcJv6xR</w:t>
            </w:r>
          </w:p>
        </w:tc>
      </w:tr>
      <w:tr>
        <w:trPr>
          <w:cantSplit/>
        </w:trPr>
        <w:tc>
          <w:tcPr>
            <w:tcW w:w="2700" w:type="dxa"/>
          </w:tcPr>
          <w:p>
            <w:r>
              <w:rPr>
                <w:rFonts w:ascii="Calibri" w:hAnsi="Calibri"/>
                <w:color w:val="000000"/>
                <w:sz w:val="19"/>
              </w:rPr>
              <w:t xml:space="preserve">Mecanismos de coordinación</w:t>
            </w:r>
          </w:p>
        </w:tc>
        <w:tc>
          <w:tcPr>
            <w:tcW w:w="6660" w:type="dxa"/>
          </w:tcPr>
          <w:p>
            <w:r>
              <w:rPr>
                <w:rFonts w:ascii="Calibri" w:hAnsi="Calibri"/>
                <w:color w:val="000000"/>
                <w:sz w:val="19"/>
              </w:rPr>
              <w:t xml:space="preserve">a6VSfrLiDjiG4YYpAmdFb3</w:t>
            </w:r>
          </w:p>
        </w:tc>
      </w:tr>
    </w:tbl>
    <w:p>
      <w:pPr>
        <w:spacing w:after="120"/>
      </w:pPr>
    </w:p>
    <w:p>
      <w:pPr>
        <w:pStyle w:val="Normal"/>
        <w:spacing w:before="0" w:after="120" w:line="264" w:lineRule="auto"/>
        <w:widowControl/>
      </w:pPr>
      <w:r>
        <w:rPr>
          <w:rFonts w:ascii="Calibri" w:hAnsi="Calibri"/>
          <w:color w:val="000000"/>
          <w:sz w:val="22"/>
        </w:rPr>
        <w:t xml:space="preserve">Estos identificadores se exponen en el código cliente, pero no constituyen documentación de API ni garantizan estabilidad contractual.</w:t>
      </w:r>
    </w:p>
    <w:p>
      <w:pPr>
        <w:pStyle w:val="Heading1"/>
        <w:spacing w:before="320" w:after="160" w:line="264" w:lineRule="auto"/>
        <w:widowControl/>
      </w:pPr>
      <w:r>
        <w:rPr>
          <w:rFonts w:ascii="Calibri" w:hAnsi="Calibri"/>
          <w:color w:val="000000"/>
          <w:sz w:val="22"/>
        </w:rPr>
        <w:t xml:space="preserve">7. Datos estructurados, semántica y accesibilidad</w:t>
      </w:r>
    </w:p>
    <w:p>
      <w:pPr>
        <w:pStyle w:val="Heading2"/>
        <w:spacing w:before="240" w:after="120" w:line="264" w:lineRule="auto"/>
        <w:widowControl/>
      </w:pPr>
      <w:r>
        <w:rPr>
          <w:rFonts w:ascii="Calibri" w:hAnsi="Calibri"/>
          <w:color w:val="000000"/>
          <w:sz w:val="22"/>
        </w:rPr>
        <w:t xml:space="preserve">Datos estructurados</w:t>
      </w:r>
    </w:p>
    <w:p>
      <w:pPr>
        <w:pStyle w:val="Normal"/>
        <w:spacing w:before="0" w:after="120" w:line="264" w:lineRule="auto"/>
        <w:widowControl/>
      </w:pPr>
      <w:r>
        <w:rPr>
          <w:rFonts w:ascii="Calibri" w:hAnsi="Calibri"/>
          <w:color w:val="000000"/>
          <w:sz w:val="22"/>
        </w:rPr>
        <w:t xml:space="preserve">No se encontró Schema.org/JSON-LD en las shells ni en los fragmentos principales. Tampoco se observaron metadatos canónicos o sociales suficientes para identificar la entidad mostrada después de una interacción.</w:t>
      </w:r>
    </w:p>
    <w:p>
      <w:pPr>
        <w:pStyle w:val="Normal"/>
        <w:spacing w:before="0" w:after="120" w:line="264" w:lineRule="auto"/>
        <w:widowControl/>
      </w:pPr>
      <w:r>
        <w:rPr>
          <w:rFonts w:ascii="Calibri" w:hAnsi="Calibri"/>
          <w:color w:val="000000"/>
          <w:sz w:val="22"/>
        </w:rPr>
        <w:t xml:space="preserve">El parámetro ?id=46551, por ejemplo, devuelve inicialmente el mismo título genérico, sin H1, canónico, descripción o JSON-LD del plan correspondiente.</w:t>
      </w:r>
    </w:p>
    <w:p>
      <w:pPr>
        <w:pStyle w:val="Normal"/>
        <w:spacing w:before="0" w:after="120" w:line="264" w:lineRule="auto"/>
        <w:widowControl/>
      </w:pPr>
      <w:r>
        <w:rPr>
          <w:rFonts w:ascii="Calibri" w:hAnsi="Calibri"/>
          <w:color w:val="000000"/>
          <w:sz w:val="22"/>
        </w:rPr>
        <w:t xml:space="preserve">Clasificación: Verificado.</w:t>
      </w:r>
    </w:p>
    <w:p>
      <w:pPr>
        <w:pStyle w:val="Heading2"/>
        <w:spacing w:before="240" w:after="120" w:line="264" w:lineRule="auto"/>
        <w:widowControl/>
      </w:pPr>
      <w:r>
        <w:rPr>
          <w:rFonts w:ascii="Calibri" w:hAnsi="Calibri"/>
          <w:color w:val="000000"/>
          <w:sz w:val="22"/>
        </w:rPr>
        <w:t xml:space="preserve">Semántica de interacción</w:t>
      </w:r>
    </w:p>
    <w:p>
      <w:pPr>
        <w:pStyle w:val="Normal"/>
        <w:spacing w:before="0" w:after="120" w:line="264" w:lineRule="auto"/>
        <w:widowControl/>
      </w:pPr>
      <w:r>
        <w:rPr>
          <w:rFonts w:ascii="Calibri" w:hAnsi="Calibri"/>
          <w:color w:val="000000"/>
          <w:sz w:val="22"/>
        </w:rPr>
        <w:t xml:space="preserve">Se observaron aspectos positivos: varios botones de multiselección incorporan aria-haspopup=""listbox"," aria-expanded, aria-controls, aria-label y aria-describedby.</w:t>
      </w:r>
    </w:p>
    <w:p>
      <w:pPr>
        <w:pStyle w:val="Normal"/>
        <w:spacing w:before="0" w:after="120" w:line="264" w:lineRule="auto"/>
        <w:widowControl/>
      </w:pPr>
      <w:r>
        <w:rPr>
          <w:rFonts w:ascii="Calibri" w:hAnsi="Calibri"/>
          <w:color w:val="000000"/>
          <w:sz w:val="22"/>
        </w:rPr>
        <w:t xml:space="preserve">También se encontraron problemas verificables:</w:t>
      </w:r>
    </w:p>
    <w:p>
      <w:pPr>
        <w:pStyle w:val="Normal"/>
        <w:spacing w:before="0" w:after="160" w:line="264" w:lineRule="auto"/>
        <w:widowControl/>
        <w:numPr>
          <w:ilvl w:val="0"/>
          <w:numId w:val="1"/>
        </w:numPr>
        <w:ind w:left="720" w:hanging="360"/>
      </w:pPr>
      <w:r>
        <w:rPr>
          <w:rFonts w:ascii="Calibri" w:hAnsi="Calibri"/>
          <w:color w:val="000000"/>
          <w:sz w:val="22"/>
        </w:rPr>
        <w:t xml:space="preserve">IDs duplicados en planes: busca_btn, search_by_words y clear-multiselect5.</w:t>
      </w:r>
    </w:p>
    <w:p>
      <w:pPr>
        <w:pStyle w:val="Normal"/>
        <w:spacing w:before="0" w:after="160" w:line="264" w:lineRule="auto"/>
        <w:widowControl/>
        <w:numPr>
          <w:ilvl w:val="0"/>
          <w:numId w:val="1"/>
        </w:numPr>
        <w:ind w:left="720" w:hanging="360"/>
      </w:pPr>
      <w:r>
        <w:rPr>
          <w:rFonts w:ascii="Calibri" w:hAnsi="Calibri"/>
          <w:color w:val="000000"/>
          <w:sz w:val="22"/>
        </w:rPr>
        <w:t xml:space="preserve">IDs duplicados en instituciones, marcos normativos, metodologías y la plantilla temática.</w:t>
      </w:r>
    </w:p>
    <w:p>
      <w:pPr>
        <w:pStyle w:val="Normal"/>
        <w:spacing w:before="0" w:after="160" w:line="264" w:lineRule="auto"/>
        <w:widowControl/>
        <w:numPr>
          <w:ilvl w:val="0"/>
          <w:numId w:val="1"/>
        </w:numPr>
        <w:ind w:left="720" w:hanging="360"/>
      </w:pPr>
      <w:r>
        <w:rPr>
          <w:rFonts w:ascii="Calibri" w:hAnsi="Calibri"/>
          <w:color w:val="000000"/>
          <w:sz w:val="22"/>
        </w:rPr>
        <w:t xml:space="preserve">Tarjetas de temas y países implementadas como &lt;div onclick&gt; en lugar de enlaces HTML.</w:t>
      </w:r>
    </w:p>
    <w:p>
      <w:pPr>
        <w:pStyle w:val="Normal"/>
        <w:spacing w:before="0" w:after="160" w:line="264" w:lineRule="auto"/>
        <w:widowControl/>
        <w:numPr>
          <w:ilvl w:val="0"/>
          <w:numId w:val="1"/>
        </w:numPr>
        <w:ind w:left="720" w:hanging="360"/>
      </w:pPr>
      <w:r>
        <w:rPr>
          <w:rFonts w:ascii="Calibri" w:hAnsi="Calibri"/>
          <w:color w:val="000000"/>
          <w:sz w:val="22"/>
        </w:rPr>
        <w:t xml:space="preserve">Ausencia de contenido alternativo &lt;noscript&gt; para los módulos esenciales.</w:t>
      </w:r>
    </w:p>
    <w:p>
      <w:pPr>
        <w:pStyle w:val="Normal"/>
        <w:spacing w:before="0" w:after="120" w:line="264" w:lineRule="auto"/>
        <w:widowControl/>
      </w:pPr>
      <w:r>
        <w:rPr>
          <w:rFonts w:ascii="Calibri" w:hAnsi="Calibri"/>
          <w:color w:val="000000"/>
          <w:sz w:val="22"/>
        </w:rPr>
        <w:t xml:space="preserve">Los IDs duplicados pueden romper asociaciones ARIA, selección de elementos y automatización. Los div con onclick reducen la navegación por teclado y no ofrecen a un crawler un enlace semántico directo.</w:t>
      </w:r>
    </w:p>
    <w:p>
      <w:pPr>
        <w:pStyle w:val="Heading1"/>
        <w:spacing w:before="320" w:after="160" w:line="264" w:lineRule="auto"/>
        <w:widowControl/>
      </w:pPr>
      <w:r>
        <w:rPr>
          <w:rFonts w:ascii="Calibri" w:hAnsi="Calibri"/>
          <w:color w:val="000000"/>
          <w:sz w:val="22"/>
        </w:rPr>
        <w:t xml:space="preserve">8. Gobernanza de bots de IA</w:t>
      </w:r>
    </w:p>
    <w:p>
      <w:pPr>
        <w:pStyle w:val="Normal"/>
        <w:spacing w:before="0" w:after="120" w:line="264" w:lineRule="auto"/>
        <w:widowControl/>
      </w:pPr>
      <w:r>
        <w:rPr>
          <w:rFonts w:ascii="Calibri" w:hAnsi="Calibri"/>
          <w:color w:val="000000"/>
          <w:sz w:val="22"/>
        </w:rPr>
        <w:t xml:space="preserve">La ausencia de robots.txt significa, en términos del protocolo estándar, que el sitio no publicó restricciones mediante ese archivo; no debe interpretarse como un bloqueo. Sin embargo, tampoco existe una política explícita y verificable para rastreadores de búsqueda o IA.</w:t>
      </w:r>
    </w:p>
    <w:p>
      <w:pPr>
        <w:pStyle w:val="Normal"/>
        <w:spacing w:before="0" w:after="120" w:line="264" w:lineRule="auto"/>
        <w:widowControl/>
      </w:pPr>
      <w:r>
        <w:rPr>
          <w:rFonts w:ascii="Calibri" w:hAnsi="Calibri"/>
          <w:color w:val="000000"/>
          <w:sz w:val="22"/>
        </w:rPr>
        <w:t xml:space="preserve">La gobernanza recomendada debe distinguir al menos:</w:t>
      </w:r>
    </w:p>
    <w:p>
      <w:pPr>
        <w:pStyle w:val="Normal"/>
        <w:spacing w:before="0" w:after="160" w:line="264" w:lineRule="auto"/>
        <w:widowControl/>
        <w:numPr>
          <w:ilvl w:val="0"/>
          <w:numId w:val="1"/>
        </w:numPr>
        <w:ind w:left="720" w:hanging="360"/>
      </w:pPr>
      <w:r>
        <w:rPr>
          <w:rFonts w:ascii="Calibri" w:hAnsi="Calibri"/>
          <w:color w:val="000000"/>
          <w:sz w:val="22"/>
        </w:rPr>
        <w:t xml:space="preserve">Indexación y aparición en búsqueda de ChatGPT mediante OAI-SearchBot.</w:t>
      </w:r>
    </w:p>
    <w:p>
      <w:pPr>
        <w:pStyle w:val="Normal"/>
        <w:spacing w:before="0" w:after="160" w:line="264" w:lineRule="auto"/>
        <w:widowControl/>
        <w:numPr>
          <w:ilvl w:val="0"/>
          <w:numId w:val="1"/>
        </w:numPr>
        <w:ind w:left="720" w:hanging="360"/>
      </w:pPr>
      <w:r>
        <w:rPr>
          <w:rFonts w:ascii="Calibri" w:hAnsi="Calibri"/>
          <w:color w:val="000000"/>
          <w:sz w:val="22"/>
        </w:rPr>
        <w:t xml:space="preserve">Control de entrenamiento mediante GPTBot.</w:t>
      </w:r>
    </w:p>
    <w:p>
      <w:pPr>
        <w:pStyle w:val="Normal"/>
        <w:spacing w:before="0" w:after="160" w:line="264" w:lineRule="auto"/>
        <w:widowControl/>
        <w:numPr>
          <w:ilvl w:val="0"/>
          <w:numId w:val="1"/>
        </w:numPr>
        <w:ind w:left="720" w:hanging="360"/>
      </w:pPr>
      <w:r>
        <w:rPr>
          <w:rFonts w:ascii="Calibri" w:hAnsi="Calibri"/>
          <w:color w:val="000000"/>
          <w:sz w:val="22"/>
        </w:rPr>
        <w:t xml:space="preserve">Acceso de Anthropic mediante ClaudeBot y solicitudes activadas por usuarios mediante Claude-User.</w:t>
      </w:r>
    </w:p>
    <w:p>
      <w:pPr>
        <w:pStyle w:val="Normal"/>
        <w:spacing w:before="0" w:after="160" w:line="264" w:lineRule="auto"/>
        <w:widowControl/>
        <w:numPr>
          <w:ilvl w:val="0"/>
          <w:numId w:val="1"/>
        </w:numPr>
        <w:ind w:left="720" w:hanging="360"/>
      </w:pPr>
      <w:r>
        <w:rPr>
          <w:rFonts w:ascii="Calibri" w:hAnsi="Calibri"/>
          <w:color w:val="000000"/>
          <w:sz w:val="22"/>
        </w:rPr>
        <w:t xml:space="preserve">Acceso de Perplexity mediante PerplexityBot y Perplexity-User.</w:t>
      </w:r>
    </w:p>
    <w:p>
      <w:pPr>
        <w:pStyle w:val="Normal"/>
        <w:spacing w:before="0" w:after="160" w:line="264" w:lineRule="auto"/>
        <w:widowControl/>
        <w:numPr>
          <w:ilvl w:val="0"/>
          <w:numId w:val="1"/>
        </w:numPr>
        <w:ind w:left="720" w:hanging="360"/>
      </w:pPr>
      <w:r>
        <w:rPr>
          <w:rFonts w:ascii="Calibri" w:hAnsi="Calibri"/>
          <w:color w:val="000000"/>
          <w:sz w:val="22"/>
        </w:rPr>
        <w:t xml:space="preserve">Controles de Google relacionados con IA, como Google-Extended, sin confundirlos con el rastreo general de Google Search.</w:t>
      </w:r>
    </w:p>
    <w:p>
      <w:pPr>
        <w:pStyle w:val="Normal"/>
        <w:spacing w:before="0" w:after="120" w:line="264" w:lineRule="auto"/>
        <w:widowControl/>
      </w:pPr>
      <w:r>
        <w:rPr>
          <w:rFonts w:ascii="Calibri" w:hAnsi="Calibri"/>
          <w:color w:val="000000"/>
          <w:sz w:val="22"/>
        </w:rPr>
        <w:t xml:space="preserve">Referencias oficiales: OpenAI — Publishers and Developers FAQ (https://help.openai.com/en/articles/12627856-publishers-and-developers-faq), Anthropic — web crawling (https://support.anthropic.com/en/articles/8896518-does-anthropic-crawl-data-from-the-web-and-how-can-site-owners-block-the-crawler), Perplexity crawlers (https://docs.perplexity.ai/docs/resources/perplexity-crawlers) y Google crawlers (https://developers.google.com/crawling/docs/crawlers-fetchers/google-common-crawlers).</w:t>
      </w:r>
    </w:p>
    <w:p>
      <w:pPr>
        <w:pStyle w:val="Normal"/>
        <w:spacing w:before="0" w:after="120" w:line="264" w:lineRule="auto"/>
        <w:widowControl/>
      </w:pPr>
      <w:r>
        <w:rPr>
          <w:rFonts w:ascii="Calibri" w:hAnsi="Calibri"/>
          <w:color w:val="000000"/>
          <w:sz w:val="22"/>
        </w:rPr>
        <w:t xml:space="preserve">La decisión de permitir o restringir cada bot corresponde a CEPAL. El objetivo AEO no exige permitir entrenamiento; sí exige que la política sea deliberada, coherente y comprobable.</w:t>
      </w:r>
    </w:p>
    <w:p>
      <w:pPr>
        <w:pStyle w:val="Heading1"/>
        <w:spacing w:before="320" w:after="160" w:line="264" w:lineRule="auto"/>
        <w:widowControl/>
      </w:pPr>
      <w:r>
        <w:rPr>
          <w:rFonts w:ascii="Calibri" w:hAnsi="Calibri"/>
          <w:color w:val="000000"/>
          <w:sz w:val="22"/>
        </w:rPr>
        <w:t xml:space="preserve">9. Hallazgos priorizados</w:t>
      </w:r>
    </w:p>
    <w:p>
      <w:pPr>
        <w:pStyle w:val="Heading2"/>
        <w:spacing w:before="240" w:after="120" w:line="264" w:lineRule="auto"/>
        <w:widowControl/>
      </w:pPr>
      <w:r>
        <w:rPr>
          <w:rFonts w:ascii="Calibri" w:hAnsi="Calibri"/>
          <w:color w:val="000000"/>
          <w:sz w:val="22"/>
        </w:rPr>
        <w:t xml:space="preserve">P0 — críticos</w:t>
      </w:r>
    </w:p>
    <w:p>
      <w:pPr>
        <w:pStyle w:val="Heading3"/>
        <w:spacing w:before="160" w:after="80" w:line="264" w:lineRule="auto"/>
        <w:widowControl/>
      </w:pPr>
      <w:r>
        <w:rPr>
          <w:rFonts w:ascii="Calibri" w:hAnsi="Calibri"/>
          <w:color w:val="000000"/>
          <w:sz w:val="22"/>
        </w:rPr>
        <w:t xml:space="preserve">P0.1 Entregar HTML semántico en cada URL pública</w:t>
      </w:r>
    </w:p>
    <w:p>
      <w:pPr>
        <w:pStyle w:val="Normal"/>
        <w:spacing w:before="0" w:after="120" w:line="264" w:lineRule="auto"/>
        <w:widowControl/>
      </w:pPr>
      <w:r>
        <w:rPr>
          <w:rFonts w:ascii="Calibri" w:hAnsi="Calibri"/>
          <w:color w:val="000000"/>
          <w:sz w:val="22"/>
        </w:rPr>
        <w:t xml:space="preserve">Generar del lado servidor o pre-renderizar portada, listados, resultados y fichas. Cada URL debe entregar como mínimo título específico, descripción, H1, contenido principal, enlaces, fuente y fecha sin depender de JavaScript.</w:t>
      </w:r>
    </w:p>
    <w:p>
      <w:pPr>
        <w:pStyle w:val="Normal"/>
        <w:spacing w:before="0" w:after="120" w:line="264" w:lineRule="auto"/>
        <w:widowControl/>
      </w:pPr>
      <w:r>
        <w:rPr>
          <w:rFonts w:ascii="Calibri" w:hAnsi="Calibri"/>
          <w:color w:val="000000"/>
          <w:sz w:val="22"/>
        </w:rPr>
        <w:t xml:space="preserve">Criterio de aceptación: con JavaScript deshabilitado, una URL de listado y una ficha muestran el mismo contenido factual esencial que la aplicación interactiva.</w:t>
      </w:r>
    </w:p>
    <w:p>
      <w:pPr>
        <w:pStyle w:val="Heading3"/>
        <w:spacing w:before="160" w:after="80" w:line="264" w:lineRule="auto"/>
        <w:widowControl/>
      </w:pPr>
      <w:r>
        <w:rPr>
          <w:rFonts w:ascii="Calibri" w:hAnsi="Calibri"/>
          <w:color w:val="000000"/>
          <w:sz w:val="22"/>
        </w:rPr>
        <w:t xml:space="preserve">P0.2 Reparar y monitorear la API filtrada</w:t>
      </w:r>
    </w:p>
    <w:p>
      <w:pPr>
        <w:pStyle w:val="Normal"/>
        <w:spacing w:before="0" w:after="120" w:line="264" w:lineRule="auto"/>
        <w:widowControl/>
      </w:pPr>
      <w:r>
        <w:rPr>
          <w:rFonts w:ascii="Calibri" w:hAnsi="Calibri"/>
          <w:color w:val="000000"/>
          <w:sz w:val="22"/>
        </w:rPr>
        <w:t xml:space="preserve">Corregir las respuestas 502 para query, fields e ID. Añadir pruebas automáticas para la consulta exacta usada por cada módulo. La interfaz debe mostrar un estado de error explícito y no un contenedor vacío.</w:t>
      </w:r>
    </w:p>
    <w:p>
      <w:pPr>
        <w:pStyle w:val="Normal"/>
        <w:spacing w:before="0" w:after="120" w:line="264" w:lineRule="auto"/>
        <w:widowControl/>
      </w:pPr>
      <w:r>
        <w:rPr>
          <w:rFonts w:ascii="Calibri" w:hAnsi="Calibri"/>
          <w:color w:val="000000"/>
          <w:sz w:val="22"/>
        </w:rPr>
        <w:t xml:space="preserve">Criterio de aceptación: la consulta de aprobados, un filtro por país y una consulta por ID responden 200 con JSON válido durante al menos siete días de monitoreo.</w:t>
      </w:r>
    </w:p>
    <w:p>
      <w:pPr>
        <w:pStyle w:val="Heading3"/>
        <w:spacing w:before="160" w:after="80" w:line="264" w:lineRule="auto"/>
        <w:widowControl/>
      </w:pPr>
      <w:r>
        <w:rPr>
          <w:rFonts w:ascii="Calibri" w:hAnsi="Calibri"/>
          <w:color w:val="000000"/>
          <w:sz w:val="22"/>
        </w:rPr>
        <w:t xml:space="preserve">P0.3 Convertir filtros y fichas en estados direccionables</w:t>
      </w:r>
    </w:p>
    <w:p>
      <w:pPr>
        <w:pStyle w:val="Normal"/>
        <w:spacing w:before="0" w:after="120" w:line="264" w:lineRule="auto"/>
        <w:widowControl/>
      </w:pPr>
      <w:r>
        <w:rPr>
          <w:rFonts w:ascii="Calibri" w:hAnsi="Calibri"/>
          <w:color w:val="000000"/>
          <w:sz w:val="22"/>
        </w:rPr>
        <w:t xml:space="preserve">Serializar todas las selecciones relevantes en parámetros de URL normalizados y resolverlos también en el servidor. Crear URLs permanentes de entidad, por ejemplo /es/planes/&lt;id&gt;-&lt;slug&gt;.</w:t>
      </w:r>
    </w:p>
    <w:p>
      <w:pPr>
        <w:pStyle w:val="Normal"/>
        <w:spacing w:before="0" w:after="120" w:line="264" w:lineRule="auto"/>
        <w:widowControl/>
      </w:pPr>
      <w:r>
        <w:rPr>
          <w:rFonts w:ascii="Calibri" w:hAnsi="Calibri"/>
          <w:color w:val="000000"/>
          <w:sz w:val="22"/>
        </w:rPr>
        <w:t xml:space="preserve">Criterio de aceptación: copiar, abrir en otra sesión y rastrear una URL reproduce exactamente el resultado o la ficha seleccionada.</w:t>
      </w:r>
    </w:p>
    <w:p>
      <w:pPr>
        <w:pStyle w:val="Heading3"/>
        <w:spacing w:before="160" w:after="80" w:line="264" w:lineRule="auto"/>
        <w:widowControl/>
      </w:pPr>
      <w:r>
        <w:rPr>
          <w:rFonts w:ascii="Calibri" w:hAnsi="Calibri"/>
          <w:color w:val="000000"/>
          <w:sz w:val="22"/>
        </w:rPr>
        <w:t xml:space="preserve">P0.4 Corregir descubrimiento y transporte</w:t>
      </w:r>
    </w:p>
    <w:p>
      <w:pPr>
        <w:pStyle w:val="Normal"/>
        <w:spacing w:before="0" w:after="120" w:line="264" w:lineRule="auto"/>
        <w:widowControl/>
      </w:pPr>
      <w:r>
        <w:rPr>
          <w:rFonts w:ascii="Calibri" w:hAnsi="Calibri"/>
          <w:color w:val="000000"/>
          <w:sz w:val="22"/>
        </w:rPr>
        <w:t xml:space="preserve">Publicar robots.txt, sitemaps por colección y un índice de sitemaps. Corregir la redirección HTTPS→HTTP y definir una única URL canónica por idioma.</w:t>
      </w:r>
    </w:p>
    <w:p>
      <w:pPr>
        <w:pStyle w:val="Normal"/>
        <w:spacing w:before="0" w:after="120" w:line="264" w:lineRule="auto"/>
        <w:widowControl/>
      </w:pPr>
      <w:r>
        <w:rPr>
          <w:rFonts w:ascii="Calibri" w:hAnsi="Calibri"/>
          <w:color w:val="000000"/>
          <w:sz w:val="22"/>
        </w:rPr>
        <w:t xml:space="preserve">Criterio de aceptación: las cadenas de redirección terminan directamente en HTTPS; los sitemaps contienen solo URLs 200 canónicas y se actualizan automáticamente.</w:t>
      </w:r>
    </w:p>
    <w:p>
      <w:pPr>
        <w:pStyle w:val="Heading2"/>
        <w:spacing w:before="240" w:after="120" w:line="264" w:lineRule="auto"/>
        <w:widowControl/>
      </w:pPr>
      <w:r>
        <w:rPr>
          <w:rFonts w:ascii="Calibri" w:hAnsi="Calibri"/>
          <w:color w:val="000000"/>
          <w:sz w:val="22"/>
        </w:rPr>
        <w:t xml:space="preserve">P1 — alto impacto</w:t>
      </w:r>
    </w:p>
    <w:p>
      <w:pPr>
        <w:pStyle w:val="Heading3"/>
        <w:spacing w:before="160" w:after="80" w:line="264" w:lineRule="auto"/>
        <w:widowControl/>
      </w:pPr>
      <w:r>
        <w:rPr>
          <w:rFonts w:ascii="Calibri" w:hAnsi="Calibri"/>
          <w:color w:val="000000"/>
          <w:sz w:val="22"/>
        </w:rPr>
        <w:t xml:space="preserve">P1.1 Publicar una API contractual</w:t>
      </w:r>
    </w:p>
    <w:p>
      <w:pPr>
        <w:pStyle w:val="Normal"/>
        <w:spacing w:before="0" w:after="120" w:line="264" w:lineRule="auto"/>
        <w:widowControl/>
      </w:pPr>
      <w:r>
        <w:rPr>
          <w:rFonts w:ascii="Calibri" w:hAnsi="Calibri"/>
          <w:color w:val="000000"/>
          <w:sz w:val="22"/>
        </w:rPr>
        <w:t xml:space="preserve">Documentar endpoints de solo lectura mediante OpenAPI 3.1, con esquema de campos, ejemplos, paginación, filtros, orden, errores, límites, licencia y versionado. La respuesta por defecto debe excluir registros no aprobados.</w:t>
      </w:r>
    </w:p>
    <w:p>
      <w:pPr>
        <w:pStyle w:val="Heading3"/>
        <w:spacing w:before="160" w:after="80" w:line="264" w:lineRule="auto"/>
        <w:widowControl/>
      </w:pPr>
      <w:r>
        <w:rPr>
          <w:rFonts w:ascii="Calibri" w:hAnsi="Calibri"/>
          <w:color w:val="000000"/>
          <w:sz w:val="22"/>
        </w:rPr>
        <w:t xml:space="preserve">P1.2 Añadir JSON-LD por plantilla</w:t>
      </w:r>
    </w:p>
    <w:p>
      <w:pPr>
        <w:pStyle w:val="Normal"/>
        <w:spacing w:before="0" w:after="120" w:line="264" w:lineRule="auto"/>
        <w:widowControl/>
      </w:pPr>
      <w:r>
        <w:rPr>
          <w:rFonts w:ascii="Calibri" w:hAnsi="Calibri"/>
          <w:color w:val="000000"/>
          <w:sz w:val="22"/>
        </w:rPr>
        <w:t xml:space="preserve">Implementar Organization, WebSite, DataCatalog, Dataset, BreadcrumbList y tipos de entidad adecuados, como Legislation y CreativeWork. Incluir identifier, name, description, spatialCoverage, temporalCoverage, publisher, dateModified, citation, isBasedOn y enlaces a distribuciones JSON/CSV.</w:t>
      </w:r>
    </w:p>
    <w:p>
      <w:pPr>
        <w:pStyle w:val="Heading3"/>
        <w:spacing w:before="160" w:after="80" w:line="264" w:lineRule="auto"/>
        <w:widowControl/>
      </w:pPr>
      <w:r>
        <w:rPr>
          <w:rFonts w:ascii="Calibri" w:hAnsi="Calibri"/>
          <w:color w:val="000000"/>
          <w:sz w:val="22"/>
        </w:rPr>
        <w:t xml:space="preserve">P1.3 Completar metadatos y multilingüismo</w:t>
      </w:r>
    </w:p>
    <w:p>
      <w:pPr>
        <w:pStyle w:val="Normal"/>
        <w:spacing w:before="0" w:after="120" w:line="264" w:lineRule="auto"/>
        <w:widowControl/>
      </w:pPr>
      <w:r>
        <w:rPr>
          <w:rFonts w:ascii="Calibri" w:hAnsi="Calibri"/>
          <w:color w:val="000000"/>
          <w:sz w:val="22"/>
        </w:rPr>
        <w:t xml:space="preserve">Usar títulos y descripciones específicos, rel="canonical," hreflang=""es"," hreflang=""en"," x-default y atributo lang correcto. La ficha seleccionada no debe conservar el título genérico del portal.</w:t>
      </w:r>
    </w:p>
    <w:p>
      <w:pPr>
        <w:pStyle w:val="Heading3"/>
        <w:spacing w:before="160" w:after="80" w:line="264" w:lineRule="auto"/>
        <w:widowControl/>
      </w:pPr>
      <w:r>
        <w:rPr>
          <w:rFonts w:ascii="Calibri" w:hAnsi="Calibri"/>
          <w:color w:val="000000"/>
          <w:sz w:val="22"/>
        </w:rPr>
        <w:t xml:space="preserve">P1.4 Corregir semántica y accesibilidad</w:t>
      </w:r>
    </w:p>
    <w:p>
      <w:pPr>
        <w:pStyle w:val="Normal"/>
        <w:spacing w:before="0" w:after="120" w:line="264" w:lineRule="auto"/>
        <w:widowControl/>
      </w:pPr>
      <w:r>
        <w:rPr>
          <w:rFonts w:ascii="Calibri" w:hAnsi="Calibri"/>
          <w:color w:val="000000"/>
          <w:sz w:val="22"/>
        </w:rPr>
        <w:t xml:space="preserve">Eliminar IDs duplicados, transformar tarjetas navegables en enlaces reales y conservar controles ARIA únicos y consistentes. Añadir tablas y descripciones accesibles para gráficos y mapas.</w:t>
      </w:r>
    </w:p>
    <w:p>
      <w:pPr>
        <w:pStyle w:val="Heading2"/>
        <w:spacing w:before="240" w:after="120" w:line="264" w:lineRule="auto"/>
        <w:widowControl/>
      </w:pPr>
      <w:r>
        <w:rPr>
          <w:rFonts w:ascii="Calibri" w:hAnsi="Calibri"/>
          <w:color w:val="000000"/>
          <w:sz w:val="22"/>
        </w:rPr>
        <w:t xml:space="preserve">P2 — madurez</w:t>
      </w:r>
    </w:p>
    <w:p>
      <w:pPr>
        <w:pStyle w:val="Normal"/>
        <w:spacing w:before="0" w:after="160" w:line="264" w:lineRule="auto"/>
        <w:widowControl/>
        <w:numPr>
          <w:ilvl w:val="0"/>
          <w:numId w:val="1"/>
        </w:numPr>
        <w:ind w:left="720" w:hanging="360"/>
      </w:pPr>
      <w:r>
        <w:rPr>
          <w:rFonts w:ascii="Calibri" w:hAnsi="Calibri"/>
          <w:color w:val="000000"/>
          <w:sz w:val="22"/>
        </w:rPr>
        <w:t xml:space="preserve">Publicar llms.txt como guía complementaria de colecciones, licencias y fuentes canónicas.</w:t>
      </w:r>
    </w:p>
    <w:p>
      <w:pPr>
        <w:pStyle w:val="Normal"/>
        <w:spacing w:before="0" w:after="160" w:line="264" w:lineRule="auto"/>
        <w:widowControl/>
        <w:numPr>
          <w:ilvl w:val="0"/>
          <w:numId w:val="1"/>
        </w:numPr>
        <w:ind w:left="720" w:hanging="360"/>
      </w:pPr>
      <w:r>
        <w:rPr>
          <w:rFonts w:ascii="Calibri" w:hAnsi="Calibri"/>
          <w:color w:val="000000"/>
          <w:sz w:val="22"/>
        </w:rPr>
        <w:t xml:space="preserve">Añadir bloques de “respuesta breve”, “datos clave”, “última verificación” y “cómo citar”.</w:t>
      </w:r>
    </w:p>
    <w:p>
      <w:pPr>
        <w:pStyle w:val="Normal"/>
        <w:spacing w:before="0" w:after="160" w:line="264" w:lineRule="auto"/>
        <w:widowControl/>
        <w:numPr>
          <w:ilvl w:val="0"/>
          <w:numId w:val="1"/>
        </w:numPr>
        <w:ind w:left="720" w:hanging="360"/>
      </w:pPr>
      <w:r>
        <w:rPr>
          <w:rFonts w:ascii="Calibri" w:hAnsi="Calibri"/>
          <w:color w:val="000000"/>
          <w:sz w:val="22"/>
        </w:rPr>
        <w:t xml:space="preserve">Exponer descargas estables por filtro en JSON y CSV, no solo Blob cliente.</w:t>
      </w:r>
    </w:p>
    <w:p>
      <w:pPr>
        <w:pStyle w:val="Normal"/>
        <w:spacing w:before="0" w:after="160" w:line="264" w:lineRule="auto"/>
        <w:widowControl/>
        <w:numPr>
          <w:ilvl w:val="0"/>
          <w:numId w:val="1"/>
        </w:numPr>
        <w:ind w:left="720" w:hanging="360"/>
      </w:pPr>
      <w:r>
        <w:rPr>
          <w:rFonts w:ascii="Calibri" w:hAnsi="Calibri"/>
          <w:color w:val="000000"/>
          <w:sz w:val="22"/>
        </w:rPr>
        <w:t xml:space="preserve">Mantener changelog y política editorial de altas, revisiones, correcciones y vigencia.</w:t>
      </w:r>
    </w:p>
    <w:p>
      <w:pPr>
        <w:pStyle w:val="Normal"/>
        <w:spacing w:before="0" w:after="160" w:line="264" w:lineRule="auto"/>
        <w:widowControl/>
        <w:numPr>
          <w:ilvl w:val="0"/>
          <w:numId w:val="1"/>
        </w:numPr>
        <w:ind w:left="720" w:hanging="360"/>
      </w:pPr>
      <w:r>
        <w:rPr>
          <w:rFonts w:ascii="Calibri" w:hAnsi="Calibri"/>
          <w:color w:val="000000"/>
          <w:sz w:val="22"/>
        </w:rPr>
        <w:t xml:space="preserve">Medir accesos de crawlers, errores de renderizado, cobertura de sitemap y citación en motores de respuesta.</w:t>
      </w:r>
    </w:p>
    <w:p>
      <w:pPr>
        <w:pStyle w:val="Heading1"/>
        <w:spacing w:before="320" w:after="160" w:line="264" w:lineRule="auto"/>
        <w:widowControl/>
      </w:pPr>
      <w:r>
        <w:rPr>
          <w:rFonts w:ascii="Calibri" w:hAnsi="Calibri"/>
          <w:color w:val="000000"/>
          <w:sz w:val="22"/>
        </w:rPr>
        <w:t xml:space="preserve">10. Hoja de ruta de implementación</w:t>
      </w:r>
    </w:p>
    <w:p>
      <w:pPr>
        <w:pStyle w:val="Heading2"/>
        <w:spacing w:before="240" w:after="120" w:line="264" w:lineRule="auto"/>
        <w:widowControl/>
      </w:pPr>
      <w:r>
        <w:rPr>
          <w:rFonts w:ascii="Calibri" w:hAnsi="Calibri"/>
          <w:color w:val="000000"/>
          <w:sz w:val="22"/>
        </w:rPr>
        <w:t xml:space="preserve">0–15 días</w:t>
      </w:r>
    </w:p>
    <w:p>
      <w:pPr>
        <w:pStyle w:val="Normal"/>
        <w:spacing w:before="0" w:after="160" w:line="264" w:lineRule="auto"/>
        <w:widowControl/>
        <w:numPr>
          <w:ilvl w:val="0"/>
          <w:numId w:val="2"/>
        </w:numPr>
        <w:ind w:left="720" w:hanging="360"/>
      </w:pPr>
      <w:r>
        <w:rPr>
          <w:rFonts w:ascii="Calibri" w:hAnsi="Calibri"/>
          <w:color w:val="000000"/>
          <w:sz w:val="22"/>
        </w:rPr>
        <w:t xml:space="preserve">Reparar consultas API y agregar health checks.</w:t>
      </w:r>
    </w:p>
    <w:p>
      <w:pPr>
        <w:pStyle w:val="Normal"/>
        <w:spacing w:before="0" w:after="160" w:line="264" w:lineRule="auto"/>
        <w:widowControl/>
        <w:numPr>
          <w:ilvl w:val="0"/>
          <w:numId w:val="2"/>
        </w:numPr>
        <w:ind w:left="720" w:hanging="360"/>
      </w:pPr>
      <w:r>
        <w:rPr>
          <w:rFonts w:ascii="Calibri" w:hAnsi="Calibri"/>
          <w:color w:val="000000"/>
          <w:sz w:val="22"/>
        </w:rPr>
        <w:t xml:space="preserve">Corregir la redirección HTTPS y aumentar HSTS tras validación.</w:t>
      </w:r>
    </w:p>
    <w:p>
      <w:pPr>
        <w:pStyle w:val="Normal"/>
        <w:spacing w:before="0" w:after="160" w:line="264" w:lineRule="auto"/>
        <w:widowControl/>
        <w:numPr>
          <w:ilvl w:val="0"/>
          <w:numId w:val="2"/>
        </w:numPr>
        <w:ind w:left="720" w:hanging="360"/>
      </w:pPr>
      <w:r>
        <w:rPr>
          <w:rFonts w:ascii="Calibri" w:hAnsi="Calibri"/>
          <w:color w:val="000000"/>
          <w:sz w:val="22"/>
        </w:rPr>
        <w:t xml:space="preserve">Publicar robots.txt y sitemap inicial.</w:t>
      </w:r>
    </w:p>
    <w:p>
      <w:pPr>
        <w:pStyle w:val="Normal"/>
        <w:spacing w:before="0" w:after="160" w:line="264" w:lineRule="auto"/>
        <w:widowControl/>
        <w:numPr>
          <w:ilvl w:val="0"/>
          <w:numId w:val="2"/>
        </w:numPr>
        <w:ind w:left="720" w:hanging="360"/>
      </w:pPr>
      <w:r>
        <w:rPr>
          <w:rFonts w:ascii="Calibri" w:hAnsi="Calibri"/>
          <w:color w:val="000000"/>
          <w:sz w:val="22"/>
        </w:rPr>
        <w:t xml:space="preserve">Añadir manejo visible de errores en todos los fetch.</w:t>
      </w:r>
    </w:p>
    <w:p>
      <w:pPr>
        <w:pStyle w:val="Normal"/>
        <w:spacing w:before="0" w:after="160" w:line="264" w:lineRule="auto"/>
        <w:widowControl/>
        <w:numPr>
          <w:ilvl w:val="0"/>
          <w:numId w:val="2"/>
        </w:numPr>
        <w:ind w:left="720" w:hanging="360"/>
      </w:pPr>
      <w:r>
        <w:rPr>
          <w:rFonts w:ascii="Calibri" w:hAnsi="Calibri"/>
          <w:color w:val="000000"/>
          <w:sz w:val="22"/>
        </w:rPr>
        <w:t xml:space="preserve">Definir el modelo canónico de URL para cada entidad y combinación de filtros prioritaria.</w:t>
      </w:r>
    </w:p>
    <w:p>
      <w:pPr>
        <w:pStyle w:val="Heading2"/>
        <w:spacing w:before="240" w:after="120" w:line="264" w:lineRule="auto"/>
        <w:widowControl/>
      </w:pPr>
      <w:r>
        <w:rPr>
          <w:rFonts w:ascii="Calibri" w:hAnsi="Calibri"/>
          <w:color w:val="000000"/>
          <w:sz w:val="22"/>
        </w:rPr>
        <w:t xml:space="preserve">16–45 días</w:t>
      </w:r>
    </w:p>
    <w:p>
      <w:pPr>
        <w:pStyle w:val="Normal"/>
        <w:spacing w:before="0" w:after="160" w:line="264" w:lineRule="auto"/>
        <w:widowControl/>
        <w:numPr>
          <w:ilvl w:val="0"/>
          <w:numId w:val="2"/>
        </w:numPr>
        <w:ind w:left="720" w:hanging="360"/>
      </w:pPr>
      <w:r>
        <w:rPr>
          <w:rFonts w:ascii="Calibri" w:hAnsi="Calibri"/>
          <w:color w:val="000000"/>
          <w:sz w:val="22"/>
        </w:rPr>
        <w:t xml:space="preserve">Pre-renderizar o servir HTML de listados y fichas.</w:t>
      </w:r>
    </w:p>
    <w:p>
      <w:pPr>
        <w:pStyle w:val="Normal"/>
        <w:spacing w:before="0" w:after="160" w:line="264" w:lineRule="auto"/>
        <w:widowControl/>
        <w:numPr>
          <w:ilvl w:val="0"/>
          <w:numId w:val="2"/>
        </w:numPr>
        <w:ind w:left="720" w:hanging="360"/>
      </w:pPr>
      <w:r>
        <w:rPr>
          <w:rFonts w:ascii="Calibri" w:hAnsi="Calibri"/>
          <w:color w:val="000000"/>
          <w:sz w:val="22"/>
        </w:rPr>
        <w:t xml:space="preserve">Implementar títulos, H1, descripciones, canónicos y hreflang.</w:t>
      </w:r>
    </w:p>
    <w:p>
      <w:pPr>
        <w:pStyle w:val="Normal"/>
        <w:spacing w:before="0" w:after="160" w:line="264" w:lineRule="auto"/>
        <w:widowControl/>
        <w:numPr>
          <w:ilvl w:val="0"/>
          <w:numId w:val="2"/>
        </w:numPr>
        <w:ind w:left="720" w:hanging="360"/>
      </w:pPr>
      <w:r>
        <w:rPr>
          <w:rFonts w:ascii="Calibri" w:hAnsi="Calibri"/>
          <w:color w:val="000000"/>
          <w:sz w:val="22"/>
        </w:rPr>
        <w:t xml:space="preserve">Corregir IDs duplicados y navegación por teclado.</w:t>
      </w:r>
    </w:p>
    <w:p>
      <w:pPr>
        <w:pStyle w:val="Normal"/>
        <w:spacing w:before="0" w:after="160" w:line="264" w:lineRule="auto"/>
        <w:widowControl/>
        <w:numPr>
          <w:ilvl w:val="0"/>
          <w:numId w:val="2"/>
        </w:numPr>
        <w:ind w:left="720" w:hanging="360"/>
      </w:pPr>
      <w:r>
        <w:rPr>
          <w:rFonts w:ascii="Calibri" w:hAnsi="Calibri"/>
          <w:color w:val="000000"/>
          <w:sz w:val="22"/>
        </w:rPr>
        <w:t xml:space="preserve">Exponer descargas JSON/CSV estables.</w:t>
      </w:r>
    </w:p>
    <w:p>
      <w:pPr>
        <w:pStyle w:val="Normal"/>
        <w:spacing w:before="0" w:after="160" w:line="264" w:lineRule="auto"/>
        <w:widowControl/>
        <w:numPr>
          <w:ilvl w:val="0"/>
          <w:numId w:val="2"/>
        </w:numPr>
        <w:ind w:left="720" w:hanging="360"/>
      </w:pPr>
      <w:r>
        <w:rPr>
          <w:rFonts w:ascii="Calibri" w:hAnsi="Calibri"/>
          <w:color w:val="000000"/>
          <w:sz w:val="22"/>
        </w:rPr>
        <w:t xml:space="preserve">Publicar documentación API y borrador OpenAPI.</w:t>
      </w:r>
    </w:p>
    <w:p>
      <w:pPr>
        <w:pStyle w:val="Heading2"/>
        <w:spacing w:before="240" w:after="120" w:line="264" w:lineRule="auto"/>
        <w:widowControl/>
      </w:pPr>
      <w:r>
        <w:rPr>
          <w:rFonts w:ascii="Calibri" w:hAnsi="Calibri"/>
          <w:color w:val="000000"/>
          <w:sz w:val="22"/>
        </w:rPr>
        <w:t xml:space="preserve">46–90 días</w:t>
      </w:r>
    </w:p>
    <w:p>
      <w:pPr>
        <w:pStyle w:val="Normal"/>
        <w:spacing w:before="0" w:after="160" w:line="264" w:lineRule="auto"/>
        <w:widowControl/>
        <w:numPr>
          <w:ilvl w:val="0"/>
          <w:numId w:val="2"/>
        </w:numPr>
        <w:ind w:left="720" w:hanging="360"/>
      </w:pPr>
      <w:r>
        <w:rPr>
          <w:rFonts w:ascii="Calibri" w:hAnsi="Calibri"/>
          <w:color w:val="000000"/>
          <w:sz w:val="22"/>
        </w:rPr>
        <w:t xml:space="preserve">Completar JSON-LD por colección.</w:t>
      </w:r>
    </w:p>
    <w:p>
      <w:pPr>
        <w:pStyle w:val="Normal"/>
        <w:spacing w:before="0" w:after="160" w:line="264" w:lineRule="auto"/>
        <w:widowControl/>
        <w:numPr>
          <w:ilvl w:val="0"/>
          <w:numId w:val="2"/>
        </w:numPr>
        <w:ind w:left="720" w:hanging="360"/>
      </w:pPr>
      <w:r>
        <w:rPr>
          <w:rFonts w:ascii="Calibri" w:hAnsi="Calibri"/>
          <w:color w:val="000000"/>
          <w:sz w:val="22"/>
        </w:rPr>
        <w:t xml:space="preserve">Publicar páginas de entidad permanentes y relaciones bidireccionales.</w:t>
      </w:r>
    </w:p>
    <w:p>
      <w:pPr>
        <w:pStyle w:val="Normal"/>
        <w:spacing w:before="0" w:after="160" w:line="264" w:lineRule="auto"/>
        <w:widowControl/>
        <w:numPr>
          <w:ilvl w:val="0"/>
          <w:numId w:val="2"/>
        </w:numPr>
        <w:ind w:left="720" w:hanging="360"/>
      </w:pPr>
      <w:r>
        <w:rPr>
          <w:rFonts w:ascii="Calibri" w:hAnsi="Calibri"/>
          <w:color w:val="000000"/>
          <w:sz w:val="22"/>
        </w:rPr>
        <w:t xml:space="preserve">Añadir procedencia, fecha de corte, licencia y cita sugerida.</w:t>
      </w:r>
    </w:p>
    <w:p>
      <w:pPr>
        <w:pStyle w:val="Normal"/>
        <w:spacing w:before="0" w:after="160" w:line="264" w:lineRule="auto"/>
        <w:widowControl/>
        <w:numPr>
          <w:ilvl w:val="0"/>
          <w:numId w:val="2"/>
        </w:numPr>
        <w:ind w:left="720" w:hanging="360"/>
      </w:pPr>
      <w:r>
        <w:rPr>
          <w:rFonts w:ascii="Calibri" w:hAnsi="Calibri"/>
          <w:color w:val="000000"/>
          <w:sz w:val="22"/>
        </w:rPr>
        <w:t xml:space="preserve">Crear pruebas automáticas sin JavaScript y con renderizado.</w:t>
      </w:r>
    </w:p>
    <w:p>
      <w:pPr>
        <w:pStyle w:val="Normal"/>
        <w:spacing w:before="0" w:after="160" w:line="264" w:lineRule="auto"/>
        <w:widowControl/>
        <w:numPr>
          <w:ilvl w:val="0"/>
          <w:numId w:val="2"/>
        </w:numPr>
        <w:ind w:left="720" w:hanging="360"/>
      </w:pPr>
      <w:r>
        <w:rPr>
          <w:rFonts w:ascii="Calibri" w:hAnsi="Calibri"/>
          <w:color w:val="000000"/>
          <w:sz w:val="22"/>
        </w:rPr>
        <w:t xml:space="preserve">Repetir la auditoría AEO y probar tareas completas de agentes.</w:t>
      </w:r>
    </w:p>
    <w:p>
      <w:pPr>
        <w:pStyle w:val="Heading1"/>
        <w:spacing w:before="320" w:after="160" w:line="264" w:lineRule="auto"/>
        <w:widowControl/>
      </w:pPr>
      <w:r>
        <w:rPr>
          <w:rFonts w:ascii="Calibri" w:hAnsi="Calibri"/>
          <w:color w:val="000000"/>
          <w:sz w:val="22"/>
        </w:rPr>
        <w:t xml:space="preserve">11. Pruebas de aceptación recomendadas</w:t>
      </w:r>
    </w:p>
    <w:tbl>
      <w:tblPr>
        <w:tblW w:w="9360" w:type="dxa"/>
        <w:tblInd w:w="120" w:type="dxa"/>
        <w:tblLayout w:type="fixed"/>
        <w:tblBorders>
          <w:top w:val="single" w:sz="4" w:color="B7C3D0"/>
          <w:left w:val="single" w:sz="4" w:color="B7C3D0"/>
          <w:bottom w:val="single" w:sz="4" w:color="B7C3D0"/>
          <w:right w:val="single" w:sz="4" w:color="B7C3D0"/>
          <w:insideH w:val="single" w:sz="4" w:color="D4DAE1"/>
          <w:insideV w:val="single" w:sz="4" w:color="D4DAE1"/>
        </w:tblBorders>
      </w:tblPr>
      <w:tblGrid>
        <w:gridCol w:w="2700"/>
        <w:gridCol w:w="6660"/>
      </w:tblGrid>
      <w:tr>
        <w:trPr>
          <w:cantSplit/>
          <w:tblHeader/>
        </w:trPr>
        <w:tc>
          <w:tcPr>
            <w:tcW w:w="2700" w:type="dxa"/>
            <w:shd w:val="clear" w:fill="F2F4F7"/>
          </w:tcPr>
          <w:p>
            <w:r>
              <w:rPr>
                <w:rFonts w:ascii="Calibri" w:hAnsi="Calibri"/>
                <w:b/>
                <w:color w:val="000000"/>
                <w:sz w:val="19"/>
              </w:rPr>
              <w:t xml:space="preserve">Prueba</w:t>
            </w:r>
          </w:p>
        </w:tc>
        <w:tc>
          <w:tcPr>
            <w:tcW w:w="6660" w:type="dxa"/>
            <w:shd w:val="clear" w:fill="F2F4F7"/>
          </w:tcPr>
          <w:p>
            <w:r>
              <w:rPr>
                <w:rFonts w:ascii="Calibri" w:hAnsi="Calibri"/>
                <w:b/>
                <w:color w:val="000000"/>
                <w:sz w:val="19"/>
              </w:rPr>
              <w:t xml:space="preserve">Resultado esperado</w:t>
            </w:r>
          </w:p>
        </w:tc>
      </w:tr>
      <w:tr>
        <w:trPr>
          <w:cantSplit/>
        </w:trPr>
        <w:tc>
          <w:tcPr>
            <w:tcW w:w="2700" w:type="dxa"/>
          </w:tcPr>
          <w:p>
            <w:r>
              <w:rPr>
                <w:rFonts w:ascii="Calibri" w:hAnsi="Calibri"/>
                <w:color w:val="000000"/>
                <w:sz w:val="19"/>
              </w:rPr>
              <w:t xml:space="preserve">Abrir portada sin JavaScript</w:t>
            </w:r>
          </w:p>
        </w:tc>
        <w:tc>
          <w:tcPr>
            <w:tcW w:w="6660" w:type="dxa"/>
          </w:tcPr>
          <w:p>
            <w:r>
              <w:rPr>
                <w:rFonts w:ascii="Calibri" w:hAnsi="Calibri"/>
                <w:color w:val="000000"/>
                <w:sz w:val="19"/>
              </w:rPr>
              <w:t xml:space="preserve">Propósito, navegación principal y colecciones visibles en HTML.</w:t>
            </w:r>
          </w:p>
        </w:tc>
      </w:tr>
      <w:tr>
        <w:trPr>
          <w:cantSplit/>
        </w:trPr>
        <w:tc>
          <w:tcPr>
            <w:tcW w:w="2700" w:type="dxa"/>
          </w:tcPr>
          <w:p>
            <w:r>
              <w:rPr>
                <w:rFonts w:ascii="Calibri" w:hAnsi="Calibri"/>
                <w:color w:val="000000"/>
                <w:sz w:val="19"/>
              </w:rPr>
              <w:t xml:space="preserve">Abrir listado de planes sin JavaScript</w:t>
            </w:r>
          </w:p>
        </w:tc>
        <w:tc>
          <w:tcPr>
            <w:tcW w:w="6660" w:type="dxa"/>
          </w:tcPr>
          <w:p>
            <w:r>
              <w:rPr>
                <w:rFonts w:ascii="Calibri" w:hAnsi="Calibri"/>
                <w:color w:val="000000"/>
                <w:sz w:val="19"/>
              </w:rPr>
              <w:t xml:space="preserve">Registros aprobados, filtros como enlaces/formulario y paginación accesible.</w:t>
            </w:r>
          </w:p>
        </w:tc>
      </w:tr>
      <w:tr>
        <w:trPr>
          <w:cantSplit/>
        </w:trPr>
        <w:tc>
          <w:tcPr>
            <w:tcW w:w="2700" w:type="dxa"/>
          </w:tcPr>
          <w:p>
            <w:r>
              <w:rPr>
                <w:rFonts w:ascii="Calibri" w:hAnsi="Calibri"/>
                <w:color w:val="000000"/>
                <w:sz w:val="19"/>
              </w:rPr>
              <w:t xml:space="preserve">Abrir una ficha por URL</w:t>
            </w:r>
          </w:p>
        </w:tc>
        <w:tc>
          <w:tcPr>
            <w:tcW w:w="6660" w:type="dxa"/>
          </w:tcPr>
          <w:p>
            <w:r>
              <w:rPr>
                <w:rFonts w:ascii="Calibri" w:hAnsi="Calibri"/>
                <w:color w:val="000000"/>
                <w:sz w:val="19"/>
              </w:rPr>
              <w:t xml:space="preserve">Título específico, H1, fuente, fechas, documento, canónico y JSON-LD.</w:t>
            </w:r>
          </w:p>
        </w:tc>
      </w:tr>
      <w:tr>
        <w:trPr>
          <w:cantSplit/>
        </w:trPr>
        <w:tc>
          <w:tcPr>
            <w:tcW w:w="2700" w:type="dxa"/>
          </w:tcPr>
          <w:p>
            <w:r>
              <w:rPr>
                <w:rFonts w:ascii="Calibri" w:hAnsi="Calibri"/>
                <w:color w:val="000000"/>
                <w:sz w:val="19"/>
              </w:rPr>
              <w:t xml:space="preserve">Copiar una búsqueda multifiltro</w:t>
            </w:r>
          </w:p>
        </w:tc>
        <w:tc>
          <w:tcPr>
            <w:tcW w:w="6660" w:type="dxa"/>
          </w:tcPr>
          <w:p>
            <w:r>
              <w:rPr>
                <w:rFonts w:ascii="Calibri" w:hAnsi="Calibri"/>
                <w:color w:val="000000"/>
                <w:sz w:val="19"/>
              </w:rPr>
              <w:t xml:space="preserve">La nueva sesión reproduce exactamente los filtros y resultados.</w:t>
            </w:r>
          </w:p>
        </w:tc>
      </w:tr>
      <w:tr>
        <w:trPr>
          <w:cantSplit/>
        </w:trPr>
        <w:tc>
          <w:tcPr>
            <w:tcW w:w="2700" w:type="dxa"/>
          </w:tcPr>
          <w:p>
            <w:r>
              <w:rPr>
                <w:rFonts w:ascii="Calibri" w:hAnsi="Calibri"/>
                <w:color w:val="000000"/>
                <w:sz w:val="19"/>
              </w:rPr>
              <w:t xml:space="preserve">Consultar API por estado, país e ID</w:t>
            </w:r>
          </w:p>
        </w:tc>
        <w:tc>
          <w:tcPr>
            <w:tcW w:w="6660" w:type="dxa"/>
          </w:tcPr>
          <w:p>
            <w:r>
              <w:rPr>
                <w:rFonts w:ascii="Calibri" w:hAnsi="Calibri"/>
                <w:color w:val="000000"/>
                <w:sz w:val="19"/>
              </w:rPr>
              <w:t xml:space="preserve">200, JSON válido, esquema documentado y errores consistentes.</w:t>
            </w:r>
          </w:p>
        </w:tc>
      </w:tr>
      <w:tr>
        <w:trPr>
          <w:cantSplit/>
        </w:trPr>
        <w:tc>
          <w:tcPr>
            <w:tcW w:w="2700" w:type="dxa"/>
          </w:tcPr>
          <w:p>
            <w:r>
              <w:rPr>
                <w:rFonts w:ascii="Calibri" w:hAnsi="Calibri"/>
                <w:color w:val="000000"/>
                <w:sz w:val="19"/>
              </w:rPr>
              <w:t xml:space="preserve">Consultar registro sin autenticar</w:t>
            </w:r>
          </w:p>
        </w:tc>
        <w:tc>
          <w:tcPr>
            <w:tcW w:w="6660" w:type="dxa"/>
          </w:tcPr>
          <w:p>
            <w:r>
              <w:rPr>
                <w:rFonts w:ascii="Calibri" w:hAnsi="Calibri"/>
                <w:color w:val="000000"/>
                <w:sz w:val="19"/>
              </w:rPr>
              <w:t xml:space="preserve">No aparecen campos internos innecesarios ni estados editoriales no públicos.</w:t>
            </w:r>
          </w:p>
        </w:tc>
      </w:tr>
      <w:tr>
        <w:trPr>
          <w:cantSplit/>
        </w:trPr>
        <w:tc>
          <w:tcPr>
            <w:tcW w:w="2700" w:type="dxa"/>
          </w:tcPr>
          <w:p>
            <w:r>
              <w:rPr>
                <w:rFonts w:ascii="Calibri" w:hAnsi="Calibri"/>
                <w:color w:val="000000"/>
                <w:sz w:val="19"/>
              </w:rPr>
              <w:t xml:space="preserve">Validar sitemap</w:t>
            </w:r>
          </w:p>
        </w:tc>
        <w:tc>
          <w:tcPr>
            <w:tcW w:w="6660" w:type="dxa"/>
          </w:tcPr>
          <w:p>
            <w:r>
              <w:rPr>
                <w:rFonts w:ascii="Calibri" w:hAnsi="Calibri"/>
                <w:color w:val="000000"/>
                <w:sz w:val="19"/>
              </w:rPr>
              <w:t xml:space="preserve">Todas las URLs responden 200, son canónicas y contienen lastmod confiable.</w:t>
            </w:r>
          </w:p>
        </w:tc>
      </w:tr>
      <w:tr>
        <w:trPr>
          <w:cantSplit/>
        </w:trPr>
        <w:tc>
          <w:tcPr>
            <w:tcW w:w="2700" w:type="dxa"/>
          </w:tcPr>
          <w:p>
            <w:r>
              <w:rPr>
                <w:rFonts w:ascii="Calibri" w:hAnsi="Calibri"/>
                <w:color w:val="000000"/>
                <w:sz w:val="19"/>
              </w:rPr>
              <w:t xml:space="preserve">Validar accesibilidad</w:t>
            </w:r>
          </w:p>
        </w:tc>
        <w:tc>
          <w:tcPr>
            <w:tcW w:w="6660" w:type="dxa"/>
          </w:tcPr>
          <w:p>
            <w:r>
              <w:rPr>
                <w:rFonts w:ascii="Calibri" w:hAnsi="Calibri"/>
                <w:color w:val="000000"/>
                <w:sz w:val="19"/>
              </w:rPr>
              <w:t xml:space="preserve">IDs únicos, enlaces semánticos, controles etiquetados y navegación por teclado.</w:t>
            </w:r>
          </w:p>
        </w:tc>
      </w:tr>
      <w:tr>
        <w:trPr>
          <w:cantSplit/>
        </w:trPr>
        <w:tc>
          <w:tcPr>
            <w:tcW w:w="2700" w:type="dxa"/>
          </w:tcPr>
          <w:p>
            <w:r>
              <w:rPr>
                <w:rFonts w:ascii="Calibri" w:hAnsi="Calibri"/>
                <w:color w:val="000000"/>
                <w:sz w:val="19"/>
              </w:rPr>
              <w:t xml:space="preserve">Validar JSON-LD</w:t>
            </w:r>
          </w:p>
        </w:tc>
        <w:tc>
          <w:tcPr>
            <w:tcW w:w="6660" w:type="dxa"/>
          </w:tcPr>
          <w:p>
            <w:r>
              <w:rPr>
                <w:rFonts w:ascii="Calibri" w:hAnsi="Calibri"/>
                <w:color w:val="000000"/>
                <w:sz w:val="19"/>
              </w:rPr>
              <w:t xml:space="preserve">Sin errores críticos y correspondencia exacta con el contenido visible.</w:t>
            </w:r>
          </w:p>
        </w:tc>
      </w:tr>
      <w:tr>
        <w:trPr>
          <w:cantSplit/>
        </w:trPr>
        <w:tc>
          <w:tcPr>
            <w:tcW w:w="2700" w:type="dxa"/>
          </w:tcPr>
          <w:p>
            <w:r>
              <w:rPr>
                <w:rFonts w:ascii="Calibri" w:hAnsi="Calibri"/>
                <w:color w:val="000000"/>
                <w:sz w:val="19"/>
              </w:rPr>
              <w:t xml:space="preserve">Ejecutar un agente de prueba</w:t>
            </w:r>
          </w:p>
        </w:tc>
        <w:tc>
          <w:tcPr>
            <w:tcW w:w="6660" w:type="dxa"/>
          </w:tcPr>
          <w:p>
            <w:r>
              <w:rPr>
                <w:rFonts w:ascii="Calibri" w:hAnsi="Calibri"/>
                <w:color w:val="000000"/>
                <w:sz w:val="19"/>
              </w:rPr>
              <w:t xml:space="preserve">Obtiene, filtra, verifica y cita un plan sin scraping específico del DOM.</w:t>
            </w:r>
          </w:p>
        </w:tc>
      </w:tr>
    </w:tbl>
    <w:p>
      <w:pPr>
        <w:spacing w:after="120"/>
      </w:pPr>
    </w:p>
    <w:p>
      <w:pPr>
        <w:pStyle w:val="Heading2"/>
        <w:spacing w:before="240" w:after="120" w:line="264" w:lineRule="auto"/>
        <w:widowControl/>
      </w:pPr>
      <w:r>
        <w:rPr>
          <w:rFonts w:ascii="Calibri" w:hAnsi="Calibri"/>
          <w:color w:val="000000"/>
          <w:sz w:val="22"/>
        </w:rPr>
        <w:t xml:space="preserve">Escenarios de agente</w:t>
      </w:r>
    </w:p>
    <w:p>
      <w:pPr>
        <w:pStyle w:val="Normal"/>
        <w:spacing w:before="0" w:after="160" w:line="264" w:lineRule="auto"/>
        <w:widowControl/>
        <w:numPr>
          <w:ilvl w:val="0"/>
          <w:numId w:val="2"/>
        </w:numPr>
        <w:ind w:left="720" w:hanging="360"/>
      </w:pPr>
      <w:r>
        <w:rPr>
          <w:rFonts w:ascii="Calibri" w:hAnsi="Calibri"/>
          <w:color w:val="000000"/>
          <w:sz w:val="22"/>
        </w:rPr>
        <w:t xml:space="preserve">“Enumera los planes aprobados vigentes de Chile relacionados con planificación para el desarrollo.”</w:t>
      </w:r>
    </w:p>
    <w:p>
      <w:pPr>
        <w:pStyle w:val="Normal"/>
        <w:spacing w:before="0" w:after="160" w:line="264" w:lineRule="auto"/>
        <w:widowControl/>
        <w:numPr>
          <w:ilvl w:val="0"/>
          <w:numId w:val="2"/>
        </w:numPr>
        <w:ind w:left="720" w:hanging="360"/>
      </w:pPr>
      <w:r>
        <w:rPr>
          <w:rFonts w:ascii="Calibri" w:hAnsi="Calibri"/>
          <w:color w:val="000000"/>
          <w:sz w:val="22"/>
        </w:rPr>
        <w:t xml:space="preserve">“Abre el plan con ID 46551, identifica su fuente primaria y entrega una cita permanente.”</w:t>
      </w:r>
    </w:p>
    <w:p>
      <w:pPr>
        <w:pStyle w:val="Normal"/>
        <w:spacing w:before="0" w:after="160" w:line="264" w:lineRule="auto"/>
        <w:widowControl/>
        <w:numPr>
          <w:ilvl w:val="0"/>
          <w:numId w:val="2"/>
        </w:numPr>
        <w:ind w:left="720" w:hanging="360"/>
      </w:pPr>
      <w:r>
        <w:rPr>
          <w:rFonts w:ascii="Calibri" w:hAnsi="Calibri"/>
          <w:color w:val="000000"/>
          <w:sz w:val="22"/>
        </w:rPr>
        <w:t xml:space="preserve">“Compara instituciones responsables de planificación en tres países y señala la fecha de actualización.”</w:t>
      </w:r>
    </w:p>
    <w:p>
      <w:pPr>
        <w:pStyle w:val="Normal"/>
        <w:spacing w:before="0" w:after="160" w:line="264" w:lineRule="auto"/>
        <w:widowControl/>
        <w:numPr>
          <w:ilvl w:val="0"/>
          <w:numId w:val="2"/>
        </w:numPr>
        <w:ind w:left="720" w:hanging="360"/>
      </w:pPr>
      <w:r>
        <w:rPr>
          <w:rFonts w:ascii="Calibri" w:hAnsi="Calibri"/>
          <w:color w:val="000000"/>
          <w:sz w:val="22"/>
        </w:rPr>
        <w:t xml:space="preserve">“Descarga en CSV los marcos normativos de gobierno abierto, conservando la misma selección en una URL.”</w:t>
      </w:r>
    </w:p>
    <w:p>
      <w:pPr>
        <w:pStyle w:val="Normal"/>
        <w:spacing w:before="0" w:after="120" w:line="264" w:lineRule="auto"/>
        <w:widowControl/>
      </w:pPr>
      <w:r>
        <w:rPr>
          <w:rFonts w:ascii="Calibri" w:hAnsi="Calibri"/>
          <w:color w:val="000000"/>
          <w:sz w:val="22"/>
        </w:rPr>
        <w:t xml:space="preserve">El portal debería permitir completar estos escenarios con API documentada y URLs canónicas, sin ejecutar la lógica interna de la interfaz.</w:t>
      </w:r>
    </w:p>
    <w:p>
      <w:pPr>
        <w:pStyle w:val="Heading1"/>
        <w:spacing w:before="320" w:after="160" w:line="264" w:lineRule="auto"/>
        <w:widowControl/>
      </w:pPr>
      <w:r>
        <w:rPr>
          <w:rFonts w:ascii="Calibri" w:hAnsi="Calibri"/>
          <w:color w:val="000000"/>
          <w:sz w:val="22"/>
        </w:rPr>
        <w:t xml:space="preserve">12. Evidencia de contenido dinámico por módulo</w:t>
      </w:r>
    </w:p>
    <w:tbl>
      <w:tblPr>
        <w:tblW w:w="9360" w:type="dxa"/>
        <w:tblInd w:w="120" w:type="dxa"/>
        <w:tblLayout w:type="fixed"/>
        <w:tblBorders>
          <w:top w:val="single" w:sz="4" w:color="B7C3D0"/>
          <w:left w:val="single" w:sz="4" w:color="B7C3D0"/>
          <w:bottom w:val="single" w:sz="4" w:color="B7C3D0"/>
          <w:right w:val="single" w:sz="4" w:color="B7C3D0"/>
          <w:insideH w:val="single" w:sz="4" w:color="D4DAE1"/>
          <w:insideV w:val="single" w:sz="4" w:color="D4DAE1"/>
        </w:tblBorders>
      </w:tblPr>
      <w:tblGrid>
        <w:gridCol w:w="2500"/>
        <w:gridCol w:w="960"/>
        <w:gridCol w:w="1300"/>
        <w:gridCol w:w="4600"/>
      </w:tblGrid>
      <w:tr>
        <w:trPr>
          <w:cantSplit/>
          <w:tblHeader/>
        </w:trPr>
        <w:tc>
          <w:tcPr>
            <w:tcW w:w="2500" w:type="dxa"/>
            <w:shd w:val="clear" w:fill="F2F4F7"/>
          </w:tcPr>
          <w:p>
            <w:r>
              <w:rPr>
                <w:rFonts w:ascii="Calibri" w:hAnsi="Calibri"/>
                <w:b/>
                <w:color w:val="000000"/>
                <w:sz w:val="19"/>
              </w:rPr>
              <w:t xml:space="preserve">Módulo</w:t>
            </w:r>
          </w:p>
        </w:tc>
        <w:tc>
          <w:tcPr>
            <w:tcW w:w="960" w:type="dxa"/>
            <w:shd w:val="clear" w:fill="F2F4F7"/>
          </w:tcPr>
          <w:p>
            <w:r>
              <w:rPr>
                <w:rFonts w:ascii="Calibri" w:hAnsi="Calibri"/>
                <w:b/>
                <w:color w:val="000000"/>
                <w:sz w:val="19"/>
              </w:rPr>
              <w:t xml:space="preserve">Carga inicial</w:t>
            </w:r>
          </w:p>
        </w:tc>
        <w:tc>
          <w:tcPr>
            <w:tcW w:w="1300" w:type="dxa"/>
            <w:shd w:val="clear" w:fill="F2F4F7"/>
          </w:tcPr>
          <w:p>
            <w:r>
              <w:rPr>
                <w:rFonts w:ascii="Calibri" w:hAnsi="Calibri"/>
                <w:b/>
                <w:color w:val="000000"/>
                <w:sz w:val="19"/>
              </w:rPr>
              <w:t xml:space="preserve">Interacciones observadas</w:t>
            </w:r>
          </w:p>
        </w:tc>
        <w:tc>
          <w:tcPr>
            <w:tcW w:w="4600" w:type="dxa"/>
            <w:shd w:val="clear" w:fill="F2F4F7"/>
          </w:tcPr>
          <w:p>
            <w:r>
              <w:rPr>
                <w:rFonts w:ascii="Calibri" w:hAnsi="Calibri"/>
                <w:b/>
                <w:color w:val="000000"/>
                <w:sz w:val="19"/>
              </w:rPr>
              <w:t xml:space="preserve">Riesgo principal</w:t>
            </w:r>
          </w:p>
        </w:tc>
      </w:tr>
      <w:tr>
        <w:trPr>
          <w:cantSplit/>
        </w:trPr>
        <w:tc>
          <w:tcPr>
            <w:tcW w:w="2500" w:type="dxa"/>
          </w:tcPr>
          <w:p>
            <w:r>
              <w:rPr>
                <w:rFonts w:ascii="Calibri" w:hAnsi="Calibri"/>
                <w:color w:val="000000"/>
                <w:sz w:val="19"/>
              </w:rPr>
              <w:t xml:space="preserve">Portada</w:t>
            </w:r>
          </w:p>
        </w:tc>
        <w:tc>
          <w:tcPr>
            <w:tcW w:w="960" w:type="dxa"/>
          </w:tcPr>
          <w:p>
            <w:r>
              <w:rPr>
                <w:rFonts w:ascii="Calibri" w:hAnsi="Calibri"/>
                <w:color w:val="000000"/>
                <w:sz w:val="19"/>
              </w:rPr>
              <w:t xml:space="preserve">Fragmento homepage.html</w:t>
            </w:r>
          </w:p>
        </w:tc>
        <w:tc>
          <w:tcPr>
            <w:tcW w:w="1300" w:type="dxa"/>
          </w:tcPr>
          <w:p>
            <w:r>
              <w:rPr>
                <w:rFonts w:ascii="Calibri" w:hAnsi="Calibri"/>
                <w:color w:val="000000"/>
                <w:sz w:val="19"/>
              </w:rPr>
              <w:t xml:space="preserve">Tarjetas, noticias, recursos y cifras alimentadas por fetch</w:t>
            </w:r>
          </w:p>
        </w:tc>
        <w:tc>
          <w:tcPr>
            <w:tcW w:w="4600" w:type="dxa"/>
          </w:tcPr>
          <w:p>
            <w:r>
              <w:rPr>
                <w:rFonts w:ascii="Calibri" w:hAnsi="Calibri"/>
                <w:color w:val="000000"/>
                <w:sz w:val="19"/>
              </w:rPr>
              <w:t xml:space="preserve">La shell no contiene el contenido ni enlaces principales.</w:t>
            </w:r>
          </w:p>
        </w:tc>
      </w:tr>
      <w:tr>
        <w:trPr>
          <w:cantSplit/>
        </w:trPr>
        <w:tc>
          <w:tcPr>
            <w:tcW w:w="2500" w:type="dxa"/>
          </w:tcPr>
          <w:p>
            <w:r>
              <w:rPr>
                <w:rFonts w:ascii="Calibri" w:hAnsi="Calibri"/>
                <w:color w:val="000000"/>
                <w:sz w:val="19"/>
              </w:rPr>
              <w:t xml:space="preserve">Planes</w:t>
            </w:r>
          </w:p>
        </w:tc>
        <w:tc>
          <w:tcPr>
            <w:tcW w:w="960" w:type="dxa"/>
          </w:tcPr>
          <w:p>
            <w:r>
              <w:rPr>
                <w:rFonts w:ascii="Calibri" w:hAnsi="Calibri"/>
                <w:color w:val="000000"/>
                <w:sz w:val="19"/>
              </w:rPr>
              <w:t xml:space="preserve">iframe/planes/web.html</w:t>
            </w:r>
          </w:p>
        </w:tc>
        <w:tc>
          <w:tcPr>
            <w:tcW w:w="1300" w:type="dxa"/>
          </w:tcPr>
          <w:p>
            <w:r>
              <w:rPr>
                <w:rFonts w:ascii="Calibri" w:hAnsi="Calibri"/>
                <w:color w:val="000000"/>
                <w:sz w:val="19"/>
              </w:rPr>
              <w:t xml:space="preserve">Siete selectores, búsqueda, tablas, ficha y CSV</w:t>
            </w:r>
          </w:p>
        </w:tc>
        <w:tc>
          <w:tcPr>
            <w:tcW w:w="4600" w:type="dxa"/>
          </w:tcPr>
          <w:p>
            <w:r>
              <w:rPr>
                <w:rFonts w:ascii="Calibri" w:hAnsi="Calibri"/>
                <w:color w:val="000000"/>
                <w:sz w:val="19"/>
              </w:rPr>
              <w:t xml:space="preserve">Estado cliente y API filtrada con 502.</w:t>
            </w:r>
          </w:p>
        </w:tc>
      </w:tr>
      <w:tr>
        <w:trPr>
          <w:cantSplit/>
        </w:trPr>
        <w:tc>
          <w:tcPr>
            <w:tcW w:w="2500" w:type="dxa"/>
          </w:tcPr>
          <w:p>
            <w:r>
              <w:rPr>
                <w:rFonts w:ascii="Calibri" w:hAnsi="Calibri"/>
                <w:color w:val="000000"/>
                <w:sz w:val="19"/>
              </w:rPr>
              <w:t xml:space="preserve">Instituciones</w:t>
            </w:r>
          </w:p>
        </w:tc>
        <w:tc>
          <w:tcPr>
            <w:tcW w:w="960" w:type="dxa"/>
          </w:tcPr>
          <w:p>
            <w:r>
              <w:rPr>
                <w:rFonts w:ascii="Calibri" w:hAnsi="Calibri"/>
                <w:color w:val="000000"/>
                <w:sz w:val="19"/>
              </w:rPr>
              <w:t xml:space="preserve">Fragmento dedicado</w:t>
            </w:r>
          </w:p>
        </w:tc>
        <w:tc>
          <w:tcPr>
            <w:tcW w:w="1300" w:type="dxa"/>
          </w:tcPr>
          <w:p>
            <w:r>
              <w:rPr>
                <w:rFonts w:ascii="Calibri" w:hAnsi="Calibri"/>
                <w:color w:val="000000"/>
                <w:sz w:val="19"/>
              </w:rPr>
              <w:t xml:space="preserve">País, tema y otros filtros; tablas y ficha</w:t>
            </w:r>
          </w:p>
        </w:tc>
        <w:tc>
          <w:tcPr>
            <w:tcW w:w="4600" w:type="dxa"/>
          </w:tcPr>
          <w:p>
            <w:r>
              <w:rPr>
                <w:rFonts w:ascii="Calibri" w:hAnsi="Calibri"/>
                <w:color w:val="000000"/>
                <w:sz w:val="19"/>
              </w:rPr>
              <w:t xml:space="preserve">IDs duplicados y dependencia de API.</w:t>
            </w:r>
          </w:p>
        </w:tc>
      </w:tr>
      <w:tr>
        <w:trPr>
          <w:cantSplit/>
        </w:trPr>
        <w:tc>
          <w:tcPr>
            <w:tcW w:w="2500" w:type="dxa"/>
          </w:tcPr>
          <w:p>
            <w:r>
              <w:rPr>
                <w:rFonts w:ascii="Calibri" w:hAnsi="Calibri"/>
                <w:color w:val="000000"/>
                <w:sz w:val="19"/>
              </w:rPr>
              <w:t xml:space="preserve">Marcos normativos</w:t>
            </w:r>
          </w:p>
        </w:tc>
        <w:tc>
          <w:tcPr>
            <w:tcW w:w="960" w:type="dxa"/>
          </w:tcPr>
          <w:p>
            <w:r>
              <w:rPr>
                <w:rFonts w:ascii="Calibri" w:hAnsi="Calibri"/>
                <w:color w:val="000000"/>
                <w:sz w:val="19"/>
              </w:rPr>
              <w:t xml:space="preserve">Fragmento dedicado</w:t>
            </w:r>
          </w:p>
        </w:tc>
        <w:tc>
          <w:tcPr>
            <w:tcW w:w="1300" w:type="dxa"/>
          </w:tcPr>
          <w:p>
            <w:r>
              <w:rPr>
                <w:rFonts w:ascii="Calibri" w:hAnsi="Calibri"/>
                <w:color w:val="000000"/>
                <w:sz w:val="19"/>
              </w:rPr>
              <w:t xml:space="preserve">Filtros, tablas y ficha</w:t>
            </w:r>
          </w:p>
        </w:tc>
        <w:tc>
          <w:tcPr>
            <w:tcW w:w="4600" w:type="dxa"/>
          </w:tcPr>
          <w:p>
            <w:r>
              <w:rPr>
                <w:rFonts w:ascii="Calibri" w:hAnsi="Calibri"/>
                <w:color w:val="000000"/>
                <w:sz w:val="19"/>
              </w:rPr>
              <w:t xml:space="preserve">Sin URL canónica por selección ni Schema.</w:t>
            </w:r>
          </w:p>
        </w:tc>
      </w:tr>
      <w:tr>
        <w:trPr>
          <w:cantSplit/>
        </w:trPr>
        <w:tc>
          <w:tcPr>
            <w:tcW w:w="2500" w:type="dxa"/>
          </w:tcPr>
          <w:p>
            <w:r>
              <w:rPr>
                <w:rFonts w:ascii="Calibri" w:hAnsi="Calibri"/>
                <w:color w:val="000000"/>
                <w:sz w:val="19"/>
              </w:rPr>
              <w:t xml:space="preserve">Metodologías</w:t>
            </w:r>
          </w:p>
        </w:tc>
        <w:tc>
          <w:tcPr>
            <w:tcW w:w="960" w:type="dxa"/>
          </w:tcPr>
          <w:p>
            <w:r>
              <w:rPr>
                <w:rFonts w:ascii="Calibri" w:hAnsi="Calibri"/>
                <w:color w:val="000000"/>
                <w:sz w:val="19"/>
              </w:rPr>
              <w:t xml:space="preserve">Fragmento dedicado</w:t>
            </w:r>
          </w:p>
        </w:tc>
        <w:tc>
          <w:tcPr>
            <w:tcW w:w="1300" w:type="dxa"/>
          </w:tcPr>
          <w:p>
            <w:r>
              <w:rPr>
                <w:rFonts w:ascii="Calibri" w:hAnsi="Calibri"/>
                <w:color w:val="000000"/>
                <w:sz w:val="19"/>
              </w:rPr>
              <w:t xml:space="preserve">Filtros, tablas y ficha</w:t>
            </w:r>
          </w:p>
        </w:tc>
        <w:tc>
          <w:tcPr>
            <w:tcW w:w="4600" w:type="dxa"/>
          </w:tcPr>
          <w:p>
            <w:r>
              <w:rPr>
                <w:rFonts w:ascii="Calibri" w:hAnsi="Calibri"/>
                <w:color w:val="000000"/>
                <w:sz w:val="19"/>
              </w:rPr>
              <w:t xml:space="preserve">Mismo patrón cliente y sin contrato de API.</w:t>
            </w:r>
          </w:p>
        </w:tc>
      </w:tr>
      <w:tr>
        <w:trPr>
          <w:cantSplit/>
        </w:trPr>
        <w:tc>
          <w:tcPr>
            <w:tcW w:w="2500" w:type="dxa"/>
          </w:tcPr>
          <w:p>
            <w:r>
              <w:rPr>
                <w:rFonts w:ascii="Calibri" w:hAnsi="Calibri"/>
                <w:color w:val="000000"/>
                <w:sz w:val="19"/>
              </w:rPr>
              <w:t xml:space="preserve">Sistemas</w:t>
            </w:r>
          </w:p>
        </w:tc>
        <w:tc>
          <w:tcPr>
            <w:tcW w:w="960" w:type="dxa"/>
          </w:tcPr>
          <w:p>
            <w:r>
              <w:rPr>
                <w:rFonts w:ascii="Calibri" w:hAnsi="Calibri"/>
                <w:color w:val="000000"/>
                <w:sz w:val="19"/>
              </w:rPr>
              <w:t xml:space="preserve">Fragmento dedicado</w:t>
            </w:r>
          </w:p>
        </w:tc>
        <w:tc>
          <w:tcPr>
            <w:tcW w:w="1300" w:type="dxa"/>
          </w:tcPr>
          <w:p>
            <w:r>
              <w:rPr>
                <w:rFonts w:ascii="Calibri" w:hAnsi="Calibri"/>
                <w:color w:val="000000"/>
                <w:sz w:val="19"/>
              </w:rPr>
              <w:t xml:space="preserve">Selector de tipo/país y fichas</w:t>
            </w:r>
          </w:p>
        </w:tc>
        <w:tc>
          <w:tcPr>
            <w:tcW w:w="4600" w:type="dxa"/>
          </w:tcPr>
          <w:p>
            <w:r>
              <w:rPr>
                <w:rFonts w:ascii="Calibri" w:hAnsi="Calibri"/>
                <w:color w:val="000000"/>
                <w:sz w:val="19"/>
              </w:rPr>
              <w:t xml:space="preserve">Entidades no presentes en HTML inicial.</w:t>
            </w:r>
          </w:p>
        </w:tc>
      </w:tr>
      <w:tr>
        <w:trPr>
          <w:cantSplit/>
        </w:trPr>
        <w:tc>
          <w:tcPr>
            <w:tcW w:w="2500" w:type="dxa"/>
          </w:tcPr>
          <w:p>
            <w:r>
              <w:rPr>
                <w:rFonts w:ascii="Calibri" w:hAnsi="Calibri"/>
                <w:color w:val="000000"/>
                <w:sz w:val="19"/>
              </w:rPr>
              <w:t xml:space="preserve">Países</w:t>
            </w:r>
          </w:p>
        </w:tc>
        <w:tc>
          <w:tcPr>
            <w:tcW w:w="960" w:type="dxa"/>
          </w:tcPr>
          <w:p>
            <w:r>
              <w:rPr>
                <w:rFonts w:ascii="Calibri" w:hAnsi="Calibri"/>
                <w:color w:val="000000"/>
                <w:sz w:val="19"/>
              </w:rPr>
              <w:t xml:space="preserve">include/content/paises.html</w:t>
            </w:r>
          </w:p>
        </w:tc>
        <w:tc>
          <w:tcPr>
            <w:tcW w:w="1300" w:type="dxa"/>
          </w:tcPr>
          <w:p>
            <w:r>
              <w:rPr>
                <w:rFonts w:ascii="Calibri" w:hAnsi="Calibri"/>
                <w:color w:val="000000"/>
                <w:sz w:val="19"/>
              </w:rPr>
              <w:t xml:space="preserve">Tarjetas &lt;div onclick&gt;</w:t>
            </w:r>
          </w:p>
        </w:tc>
        <w:tc>
          <w:tcPr>
            <w:tcW w:w="4600" w:type="dxa"/>
          </w:tcPr>
          <w:p>
            <w:r>
              <w:rPr>
                <w:rFonts w:ascii="Calibri" w:hAnsi="Calibri"/>
                <w:color w:val="000000"/>
                <w:sz w:val="19"/>
              </w:rPr>
              <w:t xml:space="preserve">Navegación no semántica para teclado/crawlers.</w:t>
            </w:r>
          </w:p>
        </w:tc>
      </w:tr>
      <w:tr>
        <w:trPr>
          <w:cantSplit/>
        </w:trPr>
        <w:tc>
          <w:tcPr>
            <w:tcW w:w="2500" w:type="dxa"/>
          </w:tcPr>
          <w:p>
            <w:r>
              <w:rPr>
                <w:rFonts w:ascii="Calibri" w:hAnsi="Calibri"/>
                <w:color w:val="000000"/>
                <w:sz w:val="19"/>
              </w:rPr>
              <w:t xml:space="preserve">Temas</w:t>
            </w:r>
          </w:p>
        </w:tc>
        <w:tc>
          <w:tcPr>
            <w:tcW w:w="960" w:type="dxa"/>
          </w:tcPr>
          <w:p>
            <w:r>
              <w:rPr>
                <w:rFonts w:ascii="Calibri" w:hAnsi="Calibri"/>
                <w:color w:val="000000"/>
                <w:sz w:val="19"/>
              </w:rPr>
              <w:t xml:space="preserve">include/content/page.html</w:t>
            </w:r>
          </w:p>
        </w:tc>
        <w:tc>
          <w:tcPr>
            <w:tcW w:w="1300" w:type="dxa"/>
          </w:tcPr>
          <w:p>
            <w:r>
              <w:rPr>
                <w:rFonts w:ascii="Calibri" w:hAnsi="Calibri"/>
                <w:color w:val="000000"/>
                <w:sz w:val="19"/>
              </w:rPr>
              <w:t xml:space="preserve">Selección del tema por ruta/código y datos remotos</w:t>
            </w:r>
          </w:p>
        </w:tc>
        <w:tc>
          <w:tcPr>
            <w:tcW w:w="4600" w:type="dxa"/>
          </w:tcPr>
          <w:p>
            <w:r>
              <w:rPr>
                <w:rFonts w:ascii="Calibri" w:hAnsi="Calibri"/>
                <w:color w:val="000000"/>
                <w:sz w:val="19"/>
              </w:rPr>
              <w:t xml:space="preserve">La plantilla filtra el conjunto en el navegador.</w:t>
            </w:r>
          </w:p>
        </w:tc>
      </w:tr>
    </w:tbl>
    <w:p>
      <w:pPr>
        <w:spacing w:after="120"/>
      </w:pPr>
    </w:p>
    <w:p>
      <w:pPr>
        <w:pStyle w:val="Heading1"/>
        <w:spacing w:before="320" w:after="160" w:line="264" w:lineRule="auto"/>
        <w:widowControl/>
      </w:pPr>
      <w:r>
        <w:rPr>
          <w:rFonts w:ascii="Calibri" w:hAnsi="Calibri"/>
          <w:color w:val="000000"/>
          <w:sz w:val="22"/>
        </w:rPr>
        <w:t xml:space="preserve">13. Evidencia no verificada o no aplicable</w:t>
      </w:r>
    </w:p>
    <w:p>
      <w:pPr>
        <w:pStyle w:val="Normal"/>
        <w:spacing w:before="0" w:after="160" w:line="264" w:lineRule="auto"/>
        <w:widowControl/>
        <w:numPr>
          <w:ilvl w:val="0"/>
          <w:numId w:val="1"/>
        </w:numPr>
        <w:ind w:left="720" w:hanging="360"/>
      </w:pPr>
      <w:r>
        <w:rPr>
          <w:rFonts w:ascii="Calibri" w:hAnsi="Calibri"/>
          <w:color w:val="000000"/>
          <w:sz w:val="22"/>
        </w:rPr>
        <w:t xml:space="preserve">DOM final y capturas de cada combinación: no verificado por indisponibilidad del control de Chrome.</w:t>
      </w:r>
    </w:p>
    <w:p>
      <w:pPr>
        <w:pStyle w:val="Normal"/>
        <w:spacing w:before="0" w:after="160" w:line="264" w:lineRule="auto"/>
        <w:widowControl/>
        <w:numPr>
          <w:ilvl w:val="0"/>
          <w:numId w:val="1"/>
        </w:numPr>
        <w:ind w:left="720" w:hanging="360"/>
      </w:pPr>
      <w:r>
        <w:rPr>
          <w:rFonts w:ascii="Calibri" w:hAnsi="Calibri"/>
          <w:color w:val="000000"/>
          <w:sz w:val="22"/>
        </w:rPr>
        <w:t xml:space="preserve">Paridad visual entre español e inglés: no verificada exhaustivamente.</w:t>
      </w:r>
    </w:p>
    <w:p>
      <w:pPr>
        <w:pStyle w:val="Normal"/>
        <w:spacing w:before="0" w:after="160" w:line="264" w:lineRule="auto"/>
        <w:widowControl/>
        <w:numPr>
          <w:ilvl w:val="0"/>
          <w:numId w:val="1"/>
        </w:numPr>
        <w:ind w:left="720" w:hanging="360"/>
      </w:pPr>
      <w:r>
        <w:rPr>
          <w:rFonts w:ascii="Calibri" w:hAnsi="Calibri"/>
          <w:color w:val="000000"/>
          <w:sz w:val="22"/>
        </w:rPr>
        <w:t xml:space="preserve">Comportamiento por user-agent específico: no verificado de forma concluyente; no se descontaron puntos por bloqueo diferencial.</w:t>
      </w:r>
    </w:p>
    <w:p>
      <w:pPr>
        <w:pStyle w:val="Normal"/>
        <w:spacing w:before="0" w:after="160" w:line="264" w:lineRule="auto"/>
        <w:widowControl/>
        <w:numPr>
          <w:ilvl w:val="0"/>
          <w:numId w:val="1"/>
        </w:numPr>
        <w:ind w:left="720" w:hanging="360"/>
      </w:pPr>
      <w:r>
        <w:rPr>
          <w:rFonts w:ascii="Calibri" w:hAnsi="Calibri"/>
          <w:color w:val="000000"/>
          <w:sz w:val="22"/>
        </w:rPr>
        <w:t xml:space="preserve">Logs del servidor, frecuencia real de rastreo y volumen de errores: no verificados.</w:t>
      </w:r>
    </w:p>
    <w:p>
      <w:pPr>
        <w:pStyle w:val="Normal"/>
        <w:spacing w:before="0" w:after="160" w:line="264" w:lineRule="auto"/>
        <w:widowControl/>
        <w:numPr>
          <w:ilvl w:val="0"/>
          <w:numId w:val="1"/>
        </w:numPr>
        <w:ind w:left="720" w:hanging="360"/>
      </w:pPr>
      <w:r>
        <w:rPr>
          <w:rFonts w:ascii="Calibri" w:hAnsi="Calibri"/>
          <w:color w:val="000000"/>
          <w:sz w:val="22"/>
        </w:rPr>
        <w:t xml:space="preserve">Core Web Vitals y rendimiento de dispositivo móvil: fuera del alcance de esta auditoría AEO técnica.</w:t>
      </w:r>
    </w:p>
    <w:p>
      <w:pPr>
        <w:pStyle w:val="Normal"/>
        <w:spacing w:before="0" w:after="160" w:line="264" w:lineRule="auto"/>
        <w:widowControl/>
        <w:numPr>
          <w:ilvl w:val="0"/>
          <w:numId w:val="1"/>
        </w:numPr>
        <w:ind w:left="720" w:hanging="360"/>
      </w:pPr>
      <w:r>
        <w:rPr>
          <w:rFonts w:ascii="Calibri" w:hAnsi="Calibri"/>
          <w:color w:val="000000"/>
          <w:sz w:val="22"/>
        </w:rPr>
        <w:t xml:space="preserve">Decisión institucional sobre entrenamiento de modelos: no aplicable; corresponde a la política de CEPAL.</w:t>
      </w:r>
    </w:p>
    <w:p>
      <w:pPr>
        <w:pStyle w:val="Heading1"/>
        <w:spacing w:before="320" w:after="160" w:line="264" w:lineRule="auto"/>
        <w:widowControl/>
      </w:pPr>
      <w:r>
        <w:rPr>
          <w:rFonts w:ascii="Calibri" w:hAnsi="Calibri"/>
          <w:color w:val="000000"/>
          <w:sz w:val="22"/>
        </w:rPr>
        <w:t xml:space="preserve">14. Conclusión</w:t>
      </w:r>
    </w:p>
    <w:p>
      <w:pPr>
        <w:pStyle w:val="Normal"/>
        <w:spacing w:before="0" w:after="120" w:line="264" w:lineRule="auto"/>
        <w:widowControl/>
      </w:pPr>
      <w:r>
        <w:rPr>
          <w:rFonts w:ascii="Calibri" w:hAnsi="Calibri"/>
          <w:color w:val="000000"/>
          <w:sz w:val="22"/>
        </w:rPr>
        <w:t xml:space="preserve">El Observatorio tiene un activo institucional y de datos valioso, pero la versión actual exige demasiada reconstrucción cliente para ser una fuente fiable de motores de respuesta y agentes. La barrera principal no es la ausencia de información: es que la información no existe de forma estable, semántica y reproducible en la URL pública.</w:t>
      </w:r>
    </w:p>
    <w:p>
      <w:pPr>
        <w:pStyle w:val="Normal"/>
        <w:spacing w:before="0" w:after="120" w:line="264" w:lineRule="auto"/>
        <w:widowControl/>
      </w:pPr>
      <w:r>
        <w:rPr>
          <w:rFonts w:ascii="Calibri" w:hAnsi="Calibri"/>
          <w:color w:val="000000"/>
          <w:sz w:val="22"/>
        </w:rPr>
        <w:t xml:space="preserve">La prioridad debe ser convertir cada listado, filtro y ficha en un recurso web autónomo: HTML útil desde la primera respuesta, URL permanente, metadatos específicos, datos estructurados, API documentada y descarga estable. Reparar las consultas API y preservar únicamente registros públicos aprobados es el primer paso operativo.</w:t>
      </w:r>
    </w:p>
    <w:p>
      <w:pPr>
        <w:pStyle w:val="Normal"/>
        <w:spacing w:before="0" w:after="120" w:line="264" w:lineRule="auto"/>
        <w:widowControl/>
      </w:pPr>
      <w:r>
        <w:rPr>
          <w:rFonts w:ascii="Calibri" w:hAnsi="Calibri"/>
          <w:color w:val="000000"/>
          <w:sz w:val="22"/>
        </w:rPr>
        <w:t xml:space="preserve">Con los P0 resueltos, el sitio puede pasar de 23 puntos a una preparación intermedia. Con HTML de entidad, Schema.org, OpenAPI, procedencia y monitoreo, puede aspirar a la categoría “preparado con brechas” y funcionar como fuente canónica regional para respuestas y agentes.</w:t>
      </w:r>
    </w:p>
    <w:p>
      <w:pPr>
        <w:pStyle w:val="Heading1"/>
        <w:spacing w:before="320" w:after="160" w:line="264" w:lineRule="auto"/>
        <w:widowControl/>
      </w:pPr>
      <w:r>
        <w:rPr>
          <w:rFonts w:ascii="Calibri" w:hAnsi="Calibri"/>
          <w:color w:val="000000"/>
          <w:sz w:val="22"/>
        </w:rPr>
        <w:t xml:space="preserve">15. Fuentes principales</w:t>
      </w:r>
    </w:p>
    <w:p>
      <w:pPr>
        <w:pStyle w:val="Normal"/>
        <w:spacing w:before="0" w:after="160" w:line="264" w:lineRule="auto"/>
        <w:widowControl/>
        <w:numPr>
          <w:ilvl w:val="0"/>
          <w:numId w:val="1"/>
        </w:numPr>
        <w:ind w:left="720" w:hanging="360"/>
      </w:pPr>
      <w:r>
        <w:rPr>
          <w:rFonts w:ascii="Calibri" w:hAnsi="Calibri"/>
          <w:color w:val="000000"/>
          <w:sz w:val="22"/>
        </w:rPr>
        <w:t xml:space="preserve">Portal evaluado: https://observatorioplanificacion.cepal.org/es/</w:t>
      </w:r>
    </w:p>
    <w:p>
      <w:pPr>
        <w:pStyle w:val="Normal"/>
        <w:spacing w:before="0" w:after="160" w:line="264" w:lineRule="auto"/>
        <w:widowControl/>
        <w:numPr>
          <w:ilvl w:val="0"/>
          <w:numId w:val="1"/>
        </w:numPr>
        <w:ind w:left="720" w:hanging="360"/>
      </w:pPr>
      <w:r>
        <w:rPr>
          <w:rFonts w:ascii="Calibri" w:hAnsi="Calibri"/>
          <w:color w:val="000000"/>
          <w:sz w:val="22"/>
        </w:rPr>
        <w:t xml:space="preserve">Módulo dinámico de planes: https://observatorioplanificacion.cepal.org/es/planes-programas-e-instrumentos/</w:t>
      </w:r>
    </w:p>
    <w:p>
      <w:pPr>
        <w:pStyle w:val="Normal"/>
        <w:spacing w:before="0" w:after="160" w:line="264" w:lineRule="auto"/>
        <w:widowControl/>
        <w:numPr>
          <w:ilvl w:val="0"/>
          <w:numId w:val="1"/>
        </w:numPr>
        <w:ind w:left="720" w:hanging="360"/>
      </w:pPr>
      <w:r>
        <w:rPr>
          <w:rFonts w:ascii="Calibri" w:hAnsi="Calibri"/>
          <w:color w:val="000000"/>
          <w:sz w:val="22"/>
        </w:rPr>
        <w:t xml:space="preserve">API Kobo de CEPAL: https://api-kobo.cepal.org/</w:t>
      </w:r>
    </w:p>
    <w:p>
      <w:pPr>
        <w:pStyle w:val="Normal"/>
        <w:spacing w:before="0" w:after="160" w:line="264" w:lineRule="auto"/>
        <w:widowControl/>
        <w:numPr>
          <w:ilvl w:val="0"/>
          <w:numId w:val="1"/>
        </w:numPr>
        <w:ind w:left="720" w:hanging="360"/>
      </w:pPr>
      <w:r>
        <w:rPr>
          <w:rFonts w:ascii="Calibri" w:hAnsi="Calibri"/>
          <w:color w:val="000000"/>
          <w:sz w:val="22"/>
        </w:rPr>
        <w:t xml:space="preserve">OpenAI, políticas para publishers y crawlers: https://help.openai.com/en/articles/12627856-publishers-and-developers-faq</w:t>
      </w:r>
    </w:p>
    <w:p>
      <w:pPr>
        <w:pStyle w:val="Normal"/>
        <w:spacing w:before="0" w:after="160" w:line="264" w:lineRule="auto"/>
        <w:widowControl/>
        <w:numPr>
          <w:ilvl w:val="0"/>
          <w:numId w:val="1"/>
        </w:numPr>
        <w:ind w:left="720" w:hanging="360"/>
      </w:pPr>
      <w:r>
        <w:rPr>
          <w:rFonts w:ascii="Calibri" w:hAnsi="Calibri"/>
          <w:color w:val="000000"/>
          <w:sz w:val="22"/>
        </w:rPr>
        <w:t xml:space="preserve">Anthropic, rastreo web: https://support.anthropic.com/en/articles/8896518-does-anthropic-crawl-data-from-the-web-and-how-can-site-owners-block-the-crawler</w:t>
      </w:r>
    </w:p>
    <w:p>
      <w:pPr>
        <w:pStyle w:val="Normal"/>
        <w:spacing w:before="0" w:after="160" w:line="264" w:lineRule="auto"/>
        <w:widowControl/>
        <w:numPr>
          <w:ilvl w:val="0"/>
          <w:numId w:val="1"/>
        </w:numPr>
        <w:ind w:left="720" w:hanging="360"/>
      </w:pPr>
      <w:r>
        <w:rPr>
          <w:rFonts w:ascii="Calibri" w:hAnsi="Calibri"/>
          <w:color w:val="000000"/>
          <w:sz w:val="22"/>
        </w:rPr>
        <w:t xml:space="preserve">Perplexity, crawlers: https://docs.perplexity.ai/docs/resources/perplexity-crawlers</w:t>
      </w:r>
    </w:p>
    <w:p>
      <w:pPr>
        <w:pStyle w:val="Normal"/>
        <w:spacing w:before="0" w:after="160" w:line="264" w:lineRule="auto"/>
        <w:widowControl/>
        <w:numPr>
          <w:ilvl w:val="0"/>
          <w:numId w:val="1"/>
        </w:numPr>
        <w:ind w:left="720" w:hanging="360"/>
      </w:pPr>
      <w:r>
        <w:rPr>
          <w:rFonts w:ascii="Calibri" w:hAnsi="Calibri"/>
          <w:color w:val="000000"/>
          <w:sz w:val="22"/>
        </w:rPr>
        <w:t xml:space="preserve">Google, crawlers comunes: https://developers.google.com/crawling/docs/crawlers-fetchers/google-common-crawlers</w:t>
      </w:r>
    </w:p>
    <w:p>
      <w:pPr>
        <w:pStyle w:val="Normal"/>
        <w:spacing w:before="0" w:after="160" w:line="264" w:lineRule="auto"/>
        <w:widowControl/>
        <w:numPr>
          <w:ilvl w:val="0"/>
          <w:numId w:val="1"/>
        </w:numPr>
        <w:ind w:left="720" w:hanging="360"/>
      </w:pPr>
      <w:r>
        <w:rPr>
          <w:rFonts w:ascii="Calibri" w:hAnsi="Calibri"/>
          <w:color w:val="000000"/>
          <w:sz w:val="22"/>
        </w:rPr>
        <w:t xml:space="preserve">Google, creación de robots.txt: https://developers.google.com/search/docs/crawling-indexing/robots/create-robots-txt?hl=es</w:t>
      </w:r>
    </w:p>
    <w:p>
      <w:pPr>
        <w:pStyle w:val="Heading2"/>
        <w:spacing w:before="240" w:after="120" w:line="264" w:lineRule="auto"/>
        <w:widowControl/>
      </w:pPr>
      <w:r>
        <w:rPr>
          <w:rFonts w:ascii="Calibri" w:hAnsi="Calibri"/>
          <w:color w:val="000000"/>
          <w:sz w:val="22"/>
        </w:rPr>
        <w:t xml:space="preserve">Registro de evidencia local</w:t>
      </w:r>
    </w:p>
    <w:p>
      <w:pPr>
        <w:pStyle w:val="Normal"/>
        <w:spacing w:before="0" w:after="120" w:line="264" w:lineRule="auto"/>
        <w:widowControl/>
      </w:pPr>
      <w:r>
        <w:rPr>
          <w:rFonts w:ascii="Calibri" w:hAnsi="Calibri"/>
          <w:color w:val="000000"/>
          <w:sz w:val="22"/>
        </w:rPr>
        <w:t xml:space="preserve">Las respuestas y archivos examinados se conservaron en outputs/aeo-http-evidence-2026-08-20/ y audit_evidence/observatorioplanificacion_2026-08-20/ para permitir una revisión técnica posterior.</w:t>
      </w:r>
    </w:p>
    <w:sectPr>
      <w:headerReference w:type="default" r:id="rId1"/>
      <w:footerReference w:type="default" r:id="rId2"/>
      <w:pgSz w:w="12240" w:h="15840"/>
      <w:pgMar w:top="1440" w:right="1440" w:bottom="1440" w:left="1440" w:header="708" w:footer="708"/>
    </w:sectPr>
  </w:body>
</w:document>
</file>

<file path=word/footer1.xml><?xml version="1.0" encoding="utf-8"?>
<w:ftr xmlns:w="http://schemas.openxmlformats.org/wordprocessingml/2006/main">
  <w:p>
    <w:pPr>
      <w:jc w:val="right"/>
    </w:pPr>
    <w:r>
      <w:t xml:space="preserve">20 de agosto de 2026 | Pagina </w:t>
    </w:r>
    <w:fldSimple w:instr="PAGE">
      <w:r>
        <w:t>1</w:t>
      </w:r>
    </w:fldSimple>
  </w:p>
</w:ftr>
</file>

<file path=word/header1.xml><?xml version="1.0" encoding="utf-8"?>
<w:hdr xmlns:w="http://schemas.openxmlformats.org/wordprocessingml/2006/main">
  <w:p>
    <w:r>
      <w:t>Auditoria AEO y preparacion para agentes | Observatorio CEPAL</w:t>
    </w:r>
  </w:p>
</w:hdr>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numFmt w:val="decimal"/>
      <w:lvlText w:val="•"/>
      <w:pPr>
        <w:ind w:left="720" w:hanging="360"/>
      </w:pPr>
    </w:lvl>
  </w:abstractNum>
  <w:num w:numId="1">
    <w:abstractNumId w:val="0"/>
  </w:num>
  <w:num w:numId="2">
    <w:abstractNumId w:val="1"/>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pPr>
      <w:spacing w:after="120" w:line="264" w:lineRule="auto"/>
    </w:pPr>
    <w:rPr>
      <w:rFonts w:ascii="Calibri" w:hAnsi="Calibri"/>
      <w:sz w:val="22"/>
    </w:rPr>
  </w:style>
  <w:style w:type="paragraph" w:styleId="Title">
    <w:name w:val="Title"/>
    <w:basedOn w:val="Normal"/>
    <w:qFormat/>
    <w:rPr>
      <w:b/>
      <w:sz w:val="48"/>
    </w:rPr>
  </w:style>
  <w:style w:type="paragraph" w:styleId="Subtitle">
    <w:name w:val="Subtitle"/>
    <w:basedOn w:val="Normal"/>
    <w:qFormat/>
    <w:rPr>
      <w:sz w:val="26"/>
      <w:color w:val="373737"/>
    </w:rPr>
  </w:style>
  <w:style w:type="paragraph" w:styleId="Kicker">
    <w:name w:val="Kicker"/>
    <w:basedOn w:val="Normal"/>
    <w:qFormat/>
    <w:rPr>
      <w:b/>
      <w:sz w:val="20"/>
      <w:color w:val="2E74B5"/>
    </w:rPr>
  </w:style>
  <w:style w:type="paragraph" w:styleId="Score">
    <w:name w:val="Score"/>
    <w:basedOn w:val="Normal"/>
    <w:qFormat/>
    <w:rPr>
      <w:b/>
      <w:sz w:val="36"/>
      <w:color w:val="9B1C1C"/>
    </w:rPr>
  </w:style>
  <w:style w:type="paragraph" w:styleId="Heading1">
    <w:name w:val="Heading1"/>
    <w:rPr>
      <w:b/>
      <w:sz w:val="32"/>
      <w:color w:val="2E74B5"/>
    </w:rPr>
  </w:style>
  <w:style w:type="paragraph" w:styleId="Heading2">
    <w:name w:val="Heading2"/>
    <w:rPr>
      <w:b/>
      <w:sz w:val="26"/>
      <w:color w:val="2E74B5"/>
    </w:rPr>
  </w:style>
  <w:style w:type="paragraph" w:styleId="Heading3">
    <w:name w:val="Heading3"/>
    <w:rPr>
      <w:b/>
      <w:sz w:val="24"/>
      <w:color w:val="1F4D78"/>
    </w:rPr>
  </w:style>
  <w:style w:type="paragraph" w:styleId="Quote">
    <w:name w:val="Quote"/>
    <w:rPr>
      <w:sz w:val="21"/>
      <w:color w:val="1F3A5F"/>
    </w:rPr>
  </w:style>
  <w:style w:type="paragraph" w:styleId="Code">
    <w:name w:val="Code"/>
    <w:rPr>
      <w:rFonts w:ascii="Consolas" w:hAnsi="Consolas"/>
      <w:sz w:val="18"/>
    </w:rPr>
  </w:style>
</w:styles>
</file>

<file path=word/_rels/document.xml.rels><?xml version="1.0" encoding="UTF-8" standalone="yes"?><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s>
</file>

<file path=docProps/app.xml><?xml version="1.0" encoding="utf-8"?>
<Properties xmlns="http://schemas.openxmlformats.org/officeDocument/2006/extended-properties">
  <Application>OpenAI Codex</Application>
  <Company>OpenAI</Company>
</Properties>
</file>

<file path=docProps/core.xml><?xml version="1.0" encoding="utf-8"?>
<cp:coreProperties xmlns:cp="http://schemas.openxmlformats.org/package/2006/metadata/core-properties" xmlns:dc="http://purl.org/dc/elements/1.1/" xmlns:dcterms="http://purl.org/dc/terms/" xmlns:xsi="http://www.w3.org/2001/XMLSchema-instance">
  <dc:title>Auditoria AEO y de preparacion para agentes de IA - Observatorio CEPAL</dc:title>
  <dc:creator>OpenAI Codex</dc:creator>
  <dcterms:created xsi:type="dcterms:W3CDTF">2026-08-20T00:00:00Z</dcterms:created>
</cp:coreProperties>
</file>