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Ejercicio 02.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Ventajas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545"/>
        <w:gridCol w:w="4500"/>
      </w:tblGrid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Ventaja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archivo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Ideals per a l'intercanvi d'informació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Binario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Ocupen menys.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Binario</w:t>
            </w:r>
          </w:p>
        </w:tc>
      </w:tr>
      <w:tr>
        <w:trPr>
          <w:trHeight w:val="1800" w:hRule="auto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Més ràpids de manipular.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plano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Faciliten el xifrat del contingut..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Binario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necessiten programari especial per modificar-los.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plano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Manipulació més senzilla.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plano</w:t>
            </w:r>
          </w:p>
        </w:tc>
      </w:tr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Fàcilment transportables i d’entendre.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plano</w:t>
            </w:r>
          </w:p>
        </w:tc>
      </w:tr>
    </w:tbl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Ejercicio 03.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35"/>
        <w:gridCol w:w="3255"/>
        <w:gridCol w:w="3585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Lenguaje de marcas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Explicación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 que se usa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Tex&amp;LaTex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Tex: Es un sistema de tipografía escrito por Donald E. Knuth, muy popular en el entorno académico, especialmente entre las comunidades de matemáticos, físicos e informáticos.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LaTex: es un sistema de composición de textos, orientado a la creación de documentos escritos que presenten una alta calidad tipográfica. Por sus características y posibilidades, es usado de forma especialmente intensa en la generación de artículos y libros científicos que incluyen, entre otros elementos, expresiones matemáticas.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Tex: fundamentalmente para escribir documentos de contenido científico y gran calidad de impresión. Fue desarrollado por Donald E. Knuth y actualmente hay implementaciones para todo tipo de ordenadores. Muchas de ellas son gratis.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RTF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Es un formato de archivo informático desarrollado por Microsoft en 1987 para el intercambio de documentos multiplataforma. La mayoría de los procesadores de texto pueden leer y escribir documentos RTF.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2323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323232"/>
                <w:spacing w:val="0"/>
                <w:position w:val="0"/>
                <w:sz w:val="24"/>
                <w:shd w:fill="FFFFFF" w:val="clear"/>
              </w:rPr>
              <w:t xml:space="preserve">Sirve para visualizar los datos tal como están en Rational DOORS.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23232"/>
                <w:spacing w:val="0"/>
                <w:position w:val="0"/>
                <w:sz w:val="24"/>
                <w:shd w:fill="FFFFFF" w:val="clear"/>
              </w:rPr>
              <w:t xml:space="preserve">Las opciones avanzadas sirven para controlar los saltos de página y para dar formato a los bordes y los títulos de las columnas cuando la exportación se realiza con la opción de diseño de tabla.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SGML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El </w:t>
            </w: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lenguaje de marcado generalizado estándar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 o </w:t>
            </w: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SGML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 (por sus siglas en inglés de </w:t>
            </w:r>
            <w:r>
              <w:rPr>
                <w:rFonts w:ascii="Arial" w:hAnsi="Arial" w:cs="Arial" w:eastAsia="Arial"/>
                <w:b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S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tandard </w:t>
            </w:r>
            <w:r>
              <w:rPr>
                <w:rFonts w:ascii="Arial" w:hAnsi="Arial" w:cs="Arial" w:eastAsia="Arial"/>
                <w:b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G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eneralized </w:t>
            </w:r>
            <w:r>
              <w:rPr>
                <w:rFonts w:ascii="Arial" w:hAnsi="Arial" w:cs="Arial" w:eastAsia="Arial"/>
                <w:b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M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arkup </w:t>
            </w:r>
            <w:r>
              <w:rPr>
                <w:rFonts w:ascii="Arial" w:hAnsi="Arial" w:cs="Arial" w:eastAsia="Arial"/>
                <w:b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L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anguage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) (SGML; ISO8879: 1986) es un estándar para definir lenguajes de marcado generalizados para documentos.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Se usan para definir lenguajes de marcas. Un lenguaje de definición de marcas que usa SGML o XML tiene un vocabulario específico (etiquetas para elementos y atributos) y una sintaxis declarativa (gramática que define la jerarquía y otras características).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PostScript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Es un lenguaje de descripción de páginas (en inglés: 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Page Description Language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PDL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), utilizado en muchas impresoras y también muy común como formato de transporte de archivos gráficos en talleres de impresión profesional.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Se usa para decirle a una máquina destinada a imprimir cómo y qué debe imprimir.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Un documento PostScript, en realidad, es un pequeño programa que le dice a una máquina qué, cómo y dónde imprimir, paso a paso.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trata de la sigla que corresponde 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HyperText Markup Language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es decir,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Lenguaje de Marcas de Hipertexto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que podría ser traducido como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Lenguaje de Formato de Documentos para Hipertexto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HTML es el lenguaje que se emplea para el desarrollo de páginas de internet. Está compuesto por una serie de etiquetas que el navegador interpreta y da forma en la pantalla. HTML dispone de etiquetas para imágenes, hipervínculos que nos permiten dirigirnos a otras páginas, saltos de línea, listas, tablas, etc.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XML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XML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, siglas en inglés de 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eXtensible Markup Language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, traducido como "Lenguaje de Marcado Extensible" o "Lenguaje de Marcas Extensible", es un meta-lenguaje que permite definir lenguajes de marcas desarrollado por el </w:t>
            </w:r>
            <w:r>
              <w:rPr>
                <w:rFonts w:ascii="Arial" w:hAnsi="Arial" w:cs="Arial" w:eastAsia="Arial"/>
                <w:i/>
                <w:color w:val="222222"/>
                <w:spacing w:val="0"/>
                <w:position w:val="0"/>
                <w:sz w:val="24"/>
                <w:shd w:fill="FFFFFF" w:val="clear"/>
              </w:rPr>
              <w:t xml:space="preserve">World Wide Web Consortium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 (W3C) utilizado para almacenar datos en forma legible.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Se usan para definir lenguajes de marcas. Un lenguaje de definición de marcas que usa SGML o XML tiene un vocabulario específico (etiquetas para elementos y atributos) y una sintaxis declarativa (gramática que define la jerarquía y otras características).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0"/>
        <w:gridCol w:w="5718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Lenguaje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 &amp; LaTex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</w:t>
            </w:r>
          </w:p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29" w:dyaOrig="4778">
                <v:rect xmlns:o="urn:schemas-microsoft-com:office:office" xmlns:v="urn:schemas-microsoft-com:vml" id="rectole0000000000" style="width:281.450000pt;height:2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-6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LaTex</w:t>
            </w:r>
          </w:p>
          <w:p>
            <w:pPr>
              <w:spacing w:before="0" w:after="0" w:line="240"/>
              <w:ind w:right="-656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object w:dxaOrig="5629" w:dyaOrig="4596">
                <v:rect xmlns:o="urn:schemas-microsoft-com:office:office" xmlns:v="urn:schemas-microsoft-com:vml" id="rectole0000000001" style="width:281.450000pt;height:229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RTF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43" w:dyaOrig="4414">
                <v:rect xmlns:o="urn:schemas-microsoft-com:office:office" xmlns:v="urn:schemas-microsoft-com:vml" id="rectole0000000002" style="width:342.150000pt;height:220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SGML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4" w:dyaOrig="2591">
                <v:rect xmlns:o="urn:schemas-microsoft-com:office:office" xmlns:v="urn:schemas-microsoft-com:vml" id="rectole0000000003" style="width:182.200000pt;height:129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PostScript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70" w:dyaOrig="6074">
                <v:rect xmlns:o="urn:schemas-microsoft-com:office:office" xmlns:v="urn:schemas-microsoft-com:vml" id="rectole0000000004" style="width:288.500000pt;height:303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50" w:dyaOrig="1477">
                <v:rect xmlns:o="urn:schemas-microsoft-com:office:office" xmlns:v="urn:schemas-microsoft-com:vml" id="rectole0000000005" style="width:287.500000pt;height:73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XML</w:t>
            </w:r>
          </w:p>
        </w:tc>
        <w:tc>
          <w:tcPr>
            <w:tcW w:w="57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50" w:dyaOrig="4778">
                <v:rect xmlns:o="urn:schemas-microsoft-com:office:office" xmlns:v="urn:schemas-microsoft-com:vml" id="rectole0000000006" style="width:287.500000pt;height:238.9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Ejercicio 04.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 Usos de XML: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Aplicaciones generales: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XML proporciona un método estándar para acceder a la información lo cual permite facilitar a las aplicaciones el almacenamiento, la transmisión y la visualización de datos.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Publicaciones web: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XML permite crear páginas web interactivas y a su misma vez permite al cliente peronslizar esas páginas dando lugar a que las aplicaciones e-commerce sean más intuitivas para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Aplicaciones de metadatos: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XML facilita la expresión de metadatos en un formato portátil y reutilizable.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