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80"/>
        <w:jc w:val="center"/>
      </w:pPr>
      <w:r>
        <w:rPr>
          <w:rFonts w:ascii="Calibri" w:hAnsi="Calibri"/>
          <w:b w:val="0"/>
          <w:i w:val="0"/>
          <w:color w:val="4A5E72"/>
          <w:sz w:val="22"/>
        </w:rPr>
        <w:t>ANEXO</w:t>
      </w:r>
    </w:p>
    <w:p>
      <w:pPr>
        <w:spacing w:before="80" w:after="120"/>
        <w:jc w:val="center"/>
      </w:pPr>
      <w:r>
        <w:rPr>
          <w:rFonts w:ascii="Calibri" w:hAnsi="Calibri"/>
          <w:b/>
          <w:i w:val="0"/>
          <w:color w:val="1F3864"/>
          <w:sz w:val="36"/>
        </w:rPr>
        <w:t>MGRPIC — Herramienta de Evaluación de Riesgo Procesal</w:t>
      </w:r>
    </w:p>
    <w:p>
      <w:pPr>
        <w:spacing w:before="0" w:after="80"/>
        <w:jc w:val="center"/>
      </w:pPr>
      <w:r>
        <w:rPr>
          <w:rFonts w:ascii="Calibri" w:hAnsi="Calibri"/>
          <w:b w:val="0"/>
          <w:i w:val="0"/>
          <w:color w:val="2E74B5"/>
          <w:sz w:val="26"/>
        </w:rPr>
        <w:t>Matriz de Gestión de Riesgo Procesal en la Incautación de Criptoactivos</w:t>
      </w:r>
    </w:p>
    <w:p>
      <w:pPr>
        <w:spacing w:before="160" w:after="80"/>
        <w:jc w:val="center"/>
      </w:pPr>
      <w:r>
        <w:rPr>
          <w:rFonts w:ascii="Calibri" w:hAnsi="Calibri"/>
          <w:b w:val="0"/>
          <w:i/>
          <w:color w:val="4A5E72"/>
          <w:sz w:val="20"/>
        </w:rPr>
        <w:t>Versión 3.0 · Instrumento de uso policial</w:t>
      </w:r>
    </w:p>
    <w:p/>
    <w:tbl>
      <w:tblPr>
        <w:tblStyle w:val="TableGrid"/>
        <w:tblW w:type="auto" w:w="0"/>
        <w:jc w:val="center"/>
        <w:tblLook w:firstColumn="1" w:firstRow="1" w:lastColumn="0" w:lastRow="0" w:noHBand="0" w:noVBand="1" w:val="04A0"/>
      </w:tblPr>
      <w:tblGrid>
        <w:gridCol w:w="9071"/>
      </w:tblGrid>
      <w:tr>
        <w:tc>
          <w:tcPr>
            <w:tcW w:type="dxa" w:w="9071"/>
            <w:shd w:val="clear" w:color="auto" w:fill="E6EFF8"/>
          </w:tcPr>
          <w:p>
            <w:pPr>
              <w:spacing w:before="120" w:after="120"/>
              <w:jc w:val="center"/>
            </w:pPr>
            <w:r>
              <w:rPr>
                <w:rFonts w:ascii="Calibri" w:hAnsi="Calibri"/>
                <w:sz w:val="20"/>
              </w:rPr>
              <w:t xml:space="preserve">El archivo ejecutable </w:t>
            </w:r>
            <w:r>
              <w:rPr>
                <w:rFonts w:ascii="Calibri" w:hAnsi="Calibri"/>
                <w:b/>
                <w:sz w:val="20"/>
              </w:rPr>
              <w:t>MGRPIC.html</w:t>
            </w:r>
            <w:r>
              <w:rPr>
                <w:rFonts w:ascii="Calibri" w:hAnsi="Calibri"/>
                <w:sz w:val="20"/>
              </w:rPr>
              <w:t xml:space="preserve"> se adjunta en formato digital. Abrir con cualquier navegador web sin instalación ni conexión a internet.</w:t>
            </w:r>
          </w:p>
        </w:tc>
      </w:tr>
    </w:tbl>
    <w:p/>
    <w:p>
      <w:pPr>
        <w:spacing w:before="280" w:after="120"/>
        <w:pBdr>
          <w:bottom w:val="single" w:sz="6" w:color="1F3864"/>
        </w:pBdr>
      </w:pPr>
      <w:r>
        <w:rPr>
          <w:rFonts w:ascii="Calibri" w:hAnsi="Calibri"/>
          <w:b/>
          <w:color w:val="1F3864"/>
          <w:sz w:val="26"/>
        </w:rPr>
        <w:t>1. Descripción técnica de la herramienta</w:t>
      </w:r>
    </w:p>
    <w:tbl>
      <w:tblPr>
        <w:tblStyle w:val="TableGrid"/>
        <w:tblW w:type="auto" w:w="0"/>
        <w:jc w:val="left"/>
        <w:tblLook w:firstColumn="1" w:firstRow="1" w:lastColumn="0" w:lastRow="0" w:noHBand="0" w:noVBand="1" w:val="04A0"/>
      </w:tblPr>
      <w:tblGrid>
        <w:gridCol w:w="4535"/>
        <w:gridCol w:w="4535"/>
      </w:tblGrid>
      <w:tr>
        <w:tc>
          <w:tcPr>
            <w:tcW w:type="dxa" w:w="2551"/>
            <w:shd w:val="clear" w:color="auto" w:fill="E6EFF8"/>
          </w:tcPr>
          <w:p>
            <w:pPr>
              <w:spacing w:before="60" w:after="60"/>
            </w:pPr>
            <w:r>
              <w:rPr>
                <w:rFonts w:ascii="Calibri" w:hAnsi="Calibri"/>
                <w:b/>
                <w:color w:val="1F3864"/>
                <w:sz w:val="19"/>
              </w:rPr>
              <w:t>Denominación</w:t>
            </w:r>
          </w:p>
        </w:tc>
        <w:tc>
          <w:tcPr>
            <w:tcW w:type="dxa" w:w="6236"/>
          </w:tcPr>
          <w:p>
            <w:pPr>
              <w:spacing w:before="60" w:after="60"/>
            </w:pPr>
            <w:r>
              <w:rPr>
                <w:rFonts w:ascii="Calibri" w:hAnsi="Calibri"/>
                <w:sz w:val="19"/>
              </w:rPr>
              <w:t>Matriz de Gestión de Riesgo Procesal en la Incautación de Criptoactivos (MGRPIC)</w:t>
            </w:r>
          </w:p>
        </w:tc>
      </w:tr>
      <w:tr>
        <w:tc>
          <w:tcPr>
            <w:tcW w:type="dxa" w:w="2551"/>
            <w:shd w:val="clear" w:color="auto" w:fill="E6EFF8"/>
          </w:tcPr>
          <w:p>
            <w:pPr>
              <w:spacing w:before="60" w:after="60"/>
            </w:pPr>
            <w:r>
              <w:rPr>
                <w:rFonts w:ascii="Calibri" w:hAnsi="Calibri"/>
                <w:b/>
                <w:color w:val="1F3864"/>
                <w:sz w:val="19"/>
              </w:rPr>
              <w:t>Versión</w:t>
            </w:r>
          </w:p>
        </w:tc>
        <w:tc>
          <w:tcPr>
            <w:tcW w:type="dxa" w:w="6236"/>
          </w:tcPr>
          <w:p>
            <w:pPr>
              <w:spacing w:before="60" w:after="60"/>
            </w:pPr>
            <w:r>
              <w:rPr>
                <w:rFonts w:ascii="Calibri" w:hAnsi="Calibri"/>
                <w:sz w:val="19"/>
              </w:rPr>
              <w:t>3.0</w:t>
            </w:r>
          </w:p>
        </w:tc>
      </w:tr>
      <w:tr>
        <w:tc>
          <w:tcPr>
            <w:tcW w:type="dxa" w:w="2551"/>
            <w:shd w:val="clear" w:color="auto" w:fill="E6EFF8"/>
          </w:tcPr>
          <w:p>
            <w:pPr>
              <w:spacing w:before="60" w:after="60"/>
            </w:pPr>
            <w:r>
              <w:rPr>
                <w:rFonts w:ascii="Calibri" w:hAnsi="Calibri"/>
                <w:b/>
                <w:color w:val="1F3864"/>
                <w:sz w:val="19"/>
              </w:rPr>
              <w:t>Tipo de aplicación</w:t>
            </w:r>
          </w:p>
        </w:tc>
        <w:tc>
          <w:tcPr>
            <w:tcW w:type="dxa" w:w="6236"/>
          </w:tcPr>
          <w:p>
            <w:pPr>
              <w:spacing w:before="60" w:after="60"/>
            </w:pPr>
            <w:r>
              <w:rPr>
                <w:rFonts w:ascii="Calibri" w:hAnsi="Calibri"/>
                <w:sz w:val="19"/>
              </w:rPr>
              <w:t>Aplicación web de página única (SPA). Archivo HTML autocontenido sin dependencias externas.</w:t>
            </w:r>
          </w:p>
        </w:tc>
      </w:tr>
      <w:tr>
        <w:tc>
          <w:tcPr>
            <w:tcW w:type="dxa" w:w="2551"/>
            <w:shd w:val="clear" w:color="auto" w:fill="E6EFF8"/>
          </w:tcPr>
          <w:p>
            <w:pPr>
              <w:spacing w:before="60" w:after="60"/>
            </w:pPr>
            <w:r>
              <w:rPr>
                <w:rFonts w:ascii="Calibri" w:hAnsi="Calibri"/>
                <w:b/>
                <w:color w:val="1F3864"/>
                <w:sz w:val="19"/>
              </w:rPr>
              <w:t>Tecnología</w:t>
            </w:r>
          </w:p>
        </w:tc>
        <w:tc>
          <w:tcPr>
            <w:tcW w:type="dxa" w:w="6236"/>
          </w:tcPr>
          <w:p>
            <w:pPr>
              <w:spacing w:before="60" w:after="60"/>
            </w:pPr>
            <w:r>
              <w:rPr>
                <w:rFonts w:ascii="Calibri" w:hAnsi="Calibri"/>
                <w:sz w:val="19"/>
              </w:rPr>
              <w:t>HTML5, CSS3 y JavaScript puro (sin frameworks ni librerías externas). Funciona completamente offline.</w:t>
            </w:r>
          </w:p>
        </w:tc>
      </w:tr>
      <w:tr>
        <w:tc>
          <w:tcPr>
            <w:tcW w:type="dxa" w:w="2551"/>
            <w:shd w:val="clear" w:color="auto" w:fill="E6EFF8"/>
          </w:tcPr>
          <w:p>
            <w:pPr>
              <w:spacing w:before="60" w:after="60"/>
            </w:pPr>
            <w:r>
              <w:rPr>
                <w:rFonts w:ascii="Calibri" w:hAnsi="Calibri"/>
                <w:b/>
                <w:color w:val="1F3864"/>
                <w:sz w:val="19"/>
              </w:rPr>
              <w:t>Compatibilidad</w:t>
            </w:r>
          </w:p>
        </w:tc>
        <w:tc>
          <w:tcPr>
            <w:tcW w:type="dxa" w:w="6236"/>
          </w:tcPr>
          <w:p>
            <w:pPr>
              <w:spacing w:before="60" w:after="60"/>
            </w:pPr>
            <w:r>
              <w:rPr>
                <w:rFonts w:ascii="Calibri" w:hAnsi="Calibri"/>
                <w:sz w:val="19"/>
              </w:rPr>
              <w:t>Cualquier navegador web moderno: Chrome, Firefox, Edge, Safari (versiones actuales).</w:t>
            </w:r>
          </w:p>
        </w:tc>
      </w:tr>
      <w:tr>
        <w:tc>
          <w:tcPr>
            <w:tcW w:type="dxa" w:w="2551"/>
            <w:shd w:val="clear" w:color="auto" w:fill="E6EFF8"/>
          </w:tcPr>
          <w:p>
            <w:pPr>
              <w:spacing w:before="60" w:after="60"/>
            </w:pPr>
            <w:r>
              <w:rPr>
                <w:rFonts w:ascii="Calibri" w:hAnsi="Calibri"/>
                <w:b/>
                <w:color w:val="1F3864"/>
                <w:sz w:val="19"/>
              </w:rPr>
              <w:t>Instalación</w:t>
            </w:r>
          </w:p>
        </w:tc>
        <w:tc>
          <w:tcPr>
            <w:tcW w:type="dxa" w:w="6236"/>
          </w:tcPr>
          <w:p>
            <w:pPr>
              <w:spacing w:before="60" w:after="60"/>
            </w:pPr>
            <w:r>
              <w:rPr>
                <w:rFonts w:ascii="Calibri" w:hAnsi="Calibri"/>
                <w:sz w:val="19"/>
              </w:rPr>
              <w:t>No requiere instalación. Basta con abrir el archivo MGRPIC.html en el navegador.</w:t>
            </w:r>
          </w:p>
        </w:tc>
      </w:tr>
      <w:tr>
        <w:tc>
          <w:tcPr>
            <w:tcW w:type="dxa" w:w="2551"/>
            <w:shd w:val="clear" w:color="auto" w:fill="E6EFF8"/>
          </w:tcPr>
          <w:p>
            <w:pPr>
              <w:spacing w:before="60" w:after="60"/>
            </w:pPr>
            <w:r>
              <w:rPr>
                <w:rFonts w:ascii="Calibri" w:hAnsi="Calibri"/>
                <w:b/>
                <w:color w:val="1F3864"/>
                <w:sz w:val="19"/>
              </w:rPr>
              <w:t>Almacenamiento</w:t>
            </w:r>
          </w:p>
        </w:tc>
        <w:tc>
          <w:tcPr>
            <w:tcW w:type="dxa" w:w="6236"/>
          </w:tcPr>
          <w:p>
            <w:pPr>
              <w:spacing w:before="60" w:after="60"/>
            </w:pPr>
            <w:r>
              <w:rPr>
                <w:rFonts w:ascii="Calibri" w:hAnsi="Calibri"/>
                <w:sz w:val="19"/>
              </w:rPr>
              <w:t>Ningún dato se almacena en el dispositivo ni se transmite a servidores externos. El estado de la evaluación se mantiene únicamente en memoria durante la sesión.</w:t>
            </w:r>
          </w:p>
        </w:tc>
      </w:tr>
      <w:tr>
        <w:tc>
          <w:tcPr>
            <w:tcW w:type="dxa" w:w="2551"/>
            <w:shd w:val="clear" w:color="auto" w:fill="E6EFF8"/>
          </w:tcPr>
          <w:p>
            <w:pPr>
              <w:spacing w:before="60" w:after="60"/>
            </w:pPr>
            <w:r>
              <w:rPr>
                <w:rFonts w:ascii="Calibri" w:hAnsi="Calibri"/>
                <w:b/>
                <w:color w:val="1F3864"/>
                <w:sz w:val="19"/>
              </w:rPr>
              <w:t>Naturaleza</w:t>
            </w:r>
          </w:p>
        </w:tc>
        <w:tc>
          <w:tcPr>
            <w:tcW w:type="dxa" w:w="6236"/>
          </w:tcPr>
          <w:p>
            <w:pPr>
              <w:spacing w:before="60" w:after="60"/>
            </w:pPr>
            <w:r>
              <w:rPr>
                <w:rFonts w:ascii="Calibri" w:hAnsi="Calibri"/>
                <w:sz w:val="19"/>
              </w:rPr>
              <w:t>Instrumento de uso policial. Apoya dos decisiones: selección del modelo de custodia y valoración de la procedencia de propuesta de enajenación anticipada al Ministerio Fiscal al amparo del artículo 367 ter de la LECrim. No es una herramienta judicial.</w:t>
            </w:r>
          </w:p>
        </w:tc>
      </w:tr>
    </w:tbl>
    <w:p/>
    <w:p>
      <w:pPr>
        <w:spacing w:before="280" w:after="120"/>
        <w:pBdr>
          <w:bottom w:val="single" w:sz="6" w:color="1F3864"/>
        </w:pBdr>
      </w:pPr>
      <w:r>
        <w:rPr>
          <w:rFonts w:ascii="Calibri" w:hAnsi="Calibri"/>
          <w:b/>
          <w:color w:val="1F3864"/>
          <w:sz w:val="26"/>
        </w:rPr>
        <w:t>2. Estructura de indicadores y sistema de ponderación</w:t>
      </w:r>
    </w:p>
    <w:p>
      <w:pPr>
        <w:spacing w:before="0" w:after="160"/>
        <w:jc w:val="left"/>
      </w:pPr>
      <w:r>
        <w:rPr>
          <w:rFonts w:ascii="Calibri" w:hAnsi="Calibri"/>
          <w:b w:val="0"/>
          <w:i w:val="0"/>
          <w:color w:val="1C2535"/>
          <w:sz w:val="20"/>
        </w:rPr>
        <w:t>La herramienta evalúa 10 indicadores agrupados en 3 dimensiones ponderadas. Cada indicador se puntúa en una escala de 0 (Bajo), 1 (Moderado) o 2 (Alto). La puntuación global se expresa en una escala de 0 a 100 puntos.</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3288"/>
            <w:gridSpan w:val="3"/>
            <w:shd w:val="clear" w:color="auto" w:fill="6C3483"/>
          </w:tcPr>
          <w:p>
            <w:pPr>
              <w:spacing w:before="80" w:after="80"/>
            </w:pPr>
            <w:r>
              <w:rPr>
                <w:rFonts w:ascii="Calibri" w:hAnsi="Calibri"/>
                <w:b/>
                <w:color w:val="FFFFFF"/>
                <w:sz w:val="20"/>
              </w:rPr>
              <w:t>D1 — Volatilidad</w:t>
            </w:r>
          </w:p>
        </w:tc>
        <w:tc>
          <w:tcPr>
            <w:tcW w:type="dxa" w:w="1701"/>
            <w:shd w:val="clear" w:color="auto" w:fill="E6EFF8"/>
          </w:tcPr>
          <w:p>
            <w:pPr>
              <w:spacing w:before="80" w:after="80"/>
              <w:jc w:val="center"/>
            </w:pPr>
            <w:r>
              <w:rPr>
                <w:rFonts w:ascii="Calibri" w:hAnsi="Calibri"/>
                <w:b/>
                <w:color w:val="1F3864"/>
                <w:sz w:val="18"/>
              </w:rPr>
              <w:t>Peso: 35 %</w:t>
            </w:r>
          </w:p>
        </w:tc>
        <w:tc>
          <w:tcPr>
            <w:tcW w:type="dxa" w:w="1701"/>
            <w:shd w:val="clear" w:color="auto" w:fill="E6EFF8"/>
          </w:tcPr>
          <w:p>
            <w:pPr>
              <w:spacing w:before="80" w:after="80"/>
              <w:jc w:val="center"/>
            </w:pPr>
            <w:r>
              <w:rPr>
                <w:rFonts w:ascii="Calibri" w:hAnsi="Calibri"/>
                <w:b/>
                <w:color w:val="1F3864"/>
                <w:sz w:val="18"/>
              </w:rPr>
              <w:t>Factor: 4,375</w:t>
            </w:r>
          </w:p>
        </w:tc>
        <w:tc>
          <w:tcPr>
            <w:tcW w:type="dxa" w:w="1701"/>
            <w:shd w:val="clear" w:color="auto" w:fill="E6EFF8"/>
          </w:tcPr>
          <w:p>
            <w:pPr>
              <w:spacing w:before="80" w:after="80"/>
              <w:jc w:val="center"/>
            </w:pPr>
            <w:r>
              <w:rPr>
                <w:rFonts w:ascii="Calibri" w:hAnsi="Calibri"/>
                <w:b/>
                <w:color w:val="1F3864"/>
                <w:sz w:val="18"/>
              </w:rPr>
              <w:t>Máx.: 35 pts</w:t>
            </w:r>
          </w:p>
        </w:tc>
      </w:tr>
      <w:tr>
        <w:tc>
          <w:tcPr>
            <w:tcW w:type="dxa" w:w="510"/>
            <w:shd w:val="clear" w:color="auto" w:fill="6C3483"/>
          </w:tcPr>
          <w:p/>
        </w:tc>
        <w:tc>
          <w:tcPr>
            <w:tcW w:type="dxa" w:w="624"/>
            <w:shd w:val="clear" w:color="auto" w:fill="E6EFF8"/>
          </w:tcPr>
          <w:p>
            <w:pPr>
              <w:spacing w:before="60" w:after="60"/>
              <w:jc w:val="center"/>
            </w:pPr>
            <w:r>
              <w:rPr>
                <w:rFonts w:ascii="Calibri" w:hAnsi="Calibri"/>
                <w:b/>
                <w:color w:val="6C3483"/>
                <w:sz w:val="17"/>
              </w:rPr>
              <w:t>V.1</w:t>
            </w:r>
          </w:p>
        </w:tc>
        <w:tc>
          <w:tcPr>
            <w:tcW w:type="dxa" w:w="2154"/>
            <w:shd w:val="clear" w:color="auto" w:fill="E6EFF8"/>
          </w:tcPr>
          <w:p>
            <w:pPr>
              <w:spacing w:before="60" w:after="60"/>
            </w:pPr>
            <w:r>
              <w:rPr>
                <w:rFonts w:ascii="Calibri" w:hAnsi="Calibri"/>
                <w:b/>
                <w:sz w:val="17"/>
              </w:rPr>
              <w:t>Naturaleza del activo</w:t>
            </w:r>
          </w:p>
        </w:tc>
        <w:tc>
          <w:tcPr>
            <w:tcW w:type="dxa" w:w="1701"/>
            <w:shd w:val="clear" w:color="auto" w:fill="E8F5DD"/>
          </w:tcPr>
          <w:p>
            <w:pPr>
              <w:spacing w:before="60" w:after="60"/>
            </w:pPr>
            <w:r>
              <w:rPr>
                <w:rFonts w:ascii="Calibri" w:hAnsi="Calibri"/>
                <w:b w:val="0"/>
                <w:sz w:val="17"/>
              </w:rPr>
              <w:t>Stablecoin (USDT, USDC)</w:t>
            </w:r>
          </w:p>
        </w:tc>
        <w:tc>
          <w:tcPr>
            <w:tcW w:type="dxa" w:w="1701"/>
            <w:shd w:val="clear" w:color="auto" w:fill="FFF8CC"/>
          </w:tcPr>
          <w:p>
            <w:pPr>
              <w:spacing w:before="60" w:after="60"/>
            </w:pPr>
            <w:r>
              <w:rPr>
                <w:rFonts w:ascii="Calibri" w:hAnsi="Calibri"/>
                <w:b w:val="0"/>
                <w:sz w:val="17"/>
              </w:rPr>
              <w:t>Alta capitalización con mercado líquido (BTC, ETH)</w:t>
            </w:r>
          </w:p>
        </w:tc>
        <w:tc>
          <w:tcPr>
            <w:tcW w:type="dxa" w:w="1701"/>
            <w:shd w:val="clear" w:color="auto" w:fill="FFE5E5"/>
          </w:tcPr>
          <w:p>
            <w:pPr>
              <w:spacing w:before="60" w:after="60"/>
            </w:pPr>
            <w:r>
              <w:rPr>
                <w:rFonts w:ascii="Calibri" w:hAnsi="Calibri"/>
                <w:b w:val="0"/>
                <w:sz w:val="17"/>
              </w:rPr>
              <w:t>Altcoin de baja capitalización o token sin mercado secundario activo</w:t>
            </w:r>
          </w:p>
        </w:tc>
      </w:tr>
      <w:tr>
        <w:tc>
          <w:tcPr>
            <w:tcW w:type="dxa" w:w="510"/>
            <w:shd w:val="clear" w:color="auto" w:fill="6C3483"/>
          </w:tcPr>
          <w:p/>
        </w:tc>
        <w:tc>
          <w:tcPr>
            <w:tcW w:type="dxa" w:w="624"/>
            <w:shd w:val="clear" w:color="auto" w:fill="E6EFF8"/>
          </w:tcPr>
          <w:p>
            <w:pPr>
              <w:spacing w:before="60" w:after="60"/>
              <w:jc w:val="center"/>
            </w:pPr>
            <w:r>
              <w:rPr>
                <w:rFonts w:ascii="Calibri" w:hAnsi="Calibri"/>
                <w:b/>
                <w:color w:val="6C3483"/>
                <w:sz w:val="17"/>
              </w:rPr>
              <w:t>V.2</w:t>
            </w:r>
          </w:p>
        </w:tc>
        <w:tc>
          <w:tcPr>
            <w:tcW w:type="dxa" w:w="2154"/>
            <w:shd w:val="clear" w:color="auto" w:fill="E6EFF8"/>
          </w:tcPr>
          <w:p>
            <w:pPr>
              <w:spacing w:before="60" w:after="60"/>
            </w:pPr>
            <w:r>
              <w:rPr>
                <w:rFonts w:ascii="Calibri" w:hAnsi="Calibri"/>
                <w:b/>
                <w:sz w:val="17"/>
              </w:rPr>
              <w:t>Variación de precio en los 30 días previos a la incautación</w:t>
            </w:r>
          </w:p>
        </w:tc>
        <w:tc>
          <w:tcPr>
            <w:tcW w:type="dxa" w:w="1701"/>
            <w:shd w:val="clear" w:color="auto" w:fill="E8F5DD"/>
          </w:tcPr>
          <w:p>
            <w:pPr>
              <w:spacing w:before="60" w:after="60"/>
            </w:pPr>
            <w:r>
              <w:rPr>
                <w:rFonts w:ascii="Calibri" w:hAnsi="Calibri"/>
                <w:b w:val="0"/>
                <w:sz w:val="17"/>
              </w:rPr>
              <w:t>Inferior al 10% sin tendencia marcada</w:t>
            </w:r>
          </w:p>
        </w:tc>
        <w:tc>
          <w:tcPr>
            <w:tcW w:type="dxa" w:w="1701"/>
            <w:shd w:val="clear" w:color="auto" w:fill="FFF8CC"/>
          </w:tcPr>
          <w:p>
            <w:pPr>
              <w:spacing w:before="60" w:after="60"/>
            </w:pPr>
            <w:r>
              <w:rPr>
                <w:rFonts w:ascii="Calibri" w:hAnsi="Calibri"/>
                <w:b w:val="0"/>
                <w:sz w:val="17"/>
              </w:rPr>
              <w:t>Entre el 10% y el 30%</w:t>
            </w:r>
          </w:p>
        </w:tc>
        <w:tc>
          <w:tcPr>
            <w:tcW w:type="dxa" w:w="1701"/>
            <w:shd w:val="clear" w:color="auto" w:fill="FFE5E5"/>
          </w:tcPr>
          <w:p>
            <w:pPr>
              <w:spacing w:before="60" w:after="60"/>
            </w:pPr>
            <w:r>
              <w:rPr>
                <w:rFonts w:ascii="Calibri" w:hAnsi="Calibri"/>
                <w:b w:val="0"/>
                <w:sz w:val="17"/>
              </w:rPr>
              <w:t>Superior al 30% o variación brusca &gt;15% en las últimas 48 horas</w:t>
            </w:r>
          </w:p>
        </w:tc>
      </w:tr>
      <w:tr>
        <w:tc>
          <w:tcPr>
            <w:tcW w:type="dxa" w:w="510"/>
            <w:shd w:val="clear" w:color="auto" w:fill="6C3483"/>
          </w:tcPr>
          <w:p/>
        </w:tc>
        <w:tc>
          <w:tcPr>
            <w:tcW w:type="dxa" w:w="624"/>
            <w:shd w:val="clear" w:color="auto" w:fill="E6EFF8"/>
          </w:tcPr>
          <w:p>
            <w:pPr>
              <w:spacing w:before="60" w:after="60"/>
              <w:jc w:val="center"/>
            </w:pPr>
            <w:r>
              <w:rPr>
                <w:rFonts w:ascii="Calibri" w:hAnsi="Calibri"/>
                <w:b/>
                <w:color w:val="6C3483"/>
                <w:sz w:val="17"/>
              </w:rPr>
              <w:t>V.3</w:t>
            </w:r>
          </w:p>
        </w:tc>
        <w:tc>
          <w:tcPr>
            <w:tcW w:type="dxa" w:w="2154"/>
            <w:shd w:val="clear" w:color="auto" w:fill="E6EFF8"/>
          </w:tcPr>
          <w:p>
            <w:pPr>
              <w:spacing w:before="60" w:after="60"/>
            </w:pPr>
            <w:r>
              <w:rPr>
                <w:rFonts w:ascii="Calibri" w:hAnsi="Calibri"/>
                <w:b/>
                <w:sz w:val="17"/>
              </w:rPr>
              <w:t>Complejidad de la causa como indicador de duración estimada</w:t>
            </w:r>
          </w:p>
        </w:tc>
        <w:tc>
          <w:tcPr>
            <w:tcW w:type="dxa" w:w="1701"/>
            <w:shd w:val="clear" w:color="auto" w:fill="E8F5DD"/>
          </w:tcPr>
          <w:p>
            <w:pPr>
              <w:spacing w:before="60" w:after="60"/>
            </w:pPr>
            <w:r>
              <w:rPr>
                <w:rFonts w:ascii="Calibri" w:hAnsi="Calibri"/>
                <w:b w:val="0"/>
                <w:sz w:val="17"/>
              </w:rPr>
              <w:t>Causa sencilla, investigado único, sin cooperación internacional</w:t>
            </w:r>
          </w:p>
        </w:tc>
        <w:tc>
          <w:tcPr>
            <w:tcW w:type="dxa" w:w="1701"/>
            <w:shd w:val="clear" w:color="auto" w:fill="FFF8CC"/>
          </w:tcPr>
          <w:p>
            <w:pPr>
              <w:spacing w:before="60" w:after="60"/>
            </w:pPr>
            <w:r>
              <w:rPr>
                <w:rFonts w:ascii="Calibri" w:hAnsi="Calibri"/>
                <w:b w:val="0"/>
                <w:sz w:val="17"/>
              </w:rPr>
              <w:t>Varios investigados o diligencia internacional pendiente</w:t>
            </w:r>
          </w:p>
        </w:tc>
        <w:tc>
          <w:tcPr>
            <w:tcW w:type="dxa" w:w="1701"/>
            <w:shd w:val="clear" w:color="auto" w:fill="FFE5E5"/>
          </w:tcPr>
          <w:p>
            <w:pPr>
              <w:spacing w:before="60" w:after="60"/>
            </w:pPr>
            <w:r>
              <w:rPr>
                <w:rFonts w:ascii="Calibri" w:hAnsi="Calibri"/>
                <w:b w:val="0"/>
                <w:sz w:val="17"/>
              </w:rPr>
              <w:t>Causa compleja, cooperación internacional activa o crimen organizado</w:t>
            </w:r>
          </w:p>
        </w:tc>
      </w:tr>
      <w:tr>
        <w:tc>
          <w:tcPr>
            <w:tcW w:type="dxa" w:w="510"/>
            <w:shd w:val="clear" w:color="auto" w:fill="6C3483"/>
          </w:tcPr>
          <w:p/>
        </w:tc>
        <w:tc>
          <w:tcPr>
            <w:tcW w:type="dxa" w:w="624"/>
            <w:shd w:val="clear" w:color="auto" w:fill="E6EFF8"/>
          </w:tcPr>
          <w:p>
            <w:pPr>
              <w:spacing w:before="60" w:after="60"/>
              <w:jc w:val="center"/>
            </w:pPr>
            <w:r>
              <w:rPr>
                <w:rFonts w:ascii="Calibri" w:hAnsi="Calibri"/>
                <w:b/>
                <w:color w:val="6C3483"/>
                <w:sz w:val="17"/>
              </w:rPr>
              <w:t>V.4</w:t>
            </w:r>
          </w:p>
        </w:tc>
        <w:tc>
          <w:tcPr>
            <w:tcW w:type="dxa" w:w="2154"/>
            <w:shd w:val="clear" w:color="auto" w:fill="E6EFF8"/>
          </w:tcPr>
          <w:p>
            <w:pPr>
              <w:spacing w:before="60" w:after="60"/>
            </w:pPr>
            <w:r>
              <w:rPr>
                <w:rFonts w:ascii="Calibri" w:hAnsi="Calibri"/>
                <w:b/>
                <w:sz w:val="17"/>
              </w:rPr>
              <w:t>Valor total del activo incautado</w:t>
            </w:r>
          </w:p>
        </w:tc>
        <w:tc>
          <w:tcPr>
            <w:tcW w:type="dxa" w:w="1701"/>
            <w:shd w:val="clear" w:color="auto" w:fill="E8F5DD"/>
          </w:tcPr>
          <w:p>
            <w:pPr>
              <w:spacing w:before="60" w:after="60"/>
            </w:pPr>
            <w:r>
              <w:rPr>
                <w:rFonts w:ascii="Calibri" w:hAnsi="Calibri"/>
                <w:b w:val="0"/>
                <w:sz w:val="17"/>
              </w:rPr>
              <w:t>Inferior a 10.000 €</w:t>
            </w:r>
          </w:p>
        </w:tc>
        <w:tc>
          <w:tcPr>
            <w:tcW w:type="dxa" w:w="1701"/>
            <w:shd w:val="clear" w:color="auto" w:fill="FFF8CC"/>
          </w:tcPr>
          <w:p>
            <w:pPr>
              <w:spacing w:before="60" w:after="60"/>
            </w:pPr>
            <w:r>
              <w:rPr>
                <w:rFonts w:ascii="Calibri" w:hAnsi="Calibri"/>
                <w:b w:val="0"/>
                <w:sz w:val="17"/>
              </w:rPr>
              <w:t>Entre 10.000 € y 500.000 €</w:t>
            </w:r>
          </w:p>
        </w:tc>
        <w:tc>
          <w:tcPr>
            <w:tcW w:type="dxa" w:w="1701"/>
            <w:shd w:val="clear" w:color="auto" w:fill="FFE5E5"/>
          </w:tcPr>
          <w:p>
            <w:pPr>
              <w:spacing w:before="60" w:after="60"/>
            </w:pPr>
            <w:r>
              <w:rPr>
                <w:rFonts w:ascii="Calibri" w:hAnsi="Calibri"/>
                <w:b w:val="0"/>
                <w:sz w:val="17"/>
              </w:rPr>
              <w:t>Superior a 500.000 €</w:t>
            </w:r>
          </w:p>
        </w:tc>
      </w:tr>
    </w:tbl>
    <w:p>
      <w:pPr>
        <w:spacing w:after="80"/>
      </w:pP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3288"/>
            <w:gridSpan w:val="3"/>
            <w:shd w:val="clear" w:color="auto" w:fill="1A5276"/>
          </w:tcPr>
          <w:p>
            <w:pPr>
              <w:spacing w:before="80" w:after="80"/>
            </w:pPr>
            <w:r>
              <w:rPr>
                <w:rFonts w:ascii="Calibri" w:hAnsi="Calibri"/>
                <w:b/>
                <w:color w:val="FFFFFF"/>
                <w:sz w:val="20"/>
              </w:rPr>
              <w:t>D2 — Custodia y Trazabilidad</w:t>
            </w:r>
          </w:p>
        </w:tc>
        <w:tc>
          <w:tcPr>
            <w:tcW w:type="dxa" w:w="1701"/>
            <w:shd w:val="clear" w:color="auto" w:fill="E6EFF8"/>
          </w:tcPr>
          <w:p>
            <w:pPr>
              <w:spacing w:before="80" w:after="80"/>
              <w:jc w:val="center"/>
            </w:pPr>
            <w:r>
              <w:rPr>
                <w:rFonts w:ascii="Calibri" w:hAnsi="Calibri"/>
                <w:b/>
                <w:color w:val="1F3864"/>
                <w:sz w:val="18"/>
              </w:rPr>
              <w:t>Peso: 30 %</w:t>
            </w:r>
          </w:p>
        </w:tc>
        <w:tc>
          <w:tcPr>
            <w:tcW w:type="dxa" w:w="1701"/>
            <w:shd w:val="clear" w:color="auto" w:fill="E6EFF8"/>
          </w:tcPr>
          <w:p>
            <w:pPr>
              <w:spacing w:before="80" w:after="80"/>
              <w:jc w:val="center"/>
            </w:pPr>
            <w:r>
              <w:rPr>
                <w:rFonts w:ascii="Calibri" w:hAnsi="Calibri"/>
                <w:b/>
                <w:color w:val="1F3864"/>
                <w:sz w:val="18"/>
              </w:rPr>
              <w:t>Factor: 5,0</w:t>
            </w:r>
          </w:p>
        </w:tc>
        <w:tc>
          <w:tcPr>
            <w:tcW w:type="dxa" w:w="1701"/>
            <w:shd w:val="clear" w:color="auto" w:fill="E6EFF8"/>
          </w:tcPr>
          <w:p>
            <w:pPr>
              <w:spacing w:before="80" w:after="80"/>
              <w:jc w:val="center"/>
            </w:pPr>
            <w:r>
              <w:rPr>
                <w:rFonts w:ascii="Calibri" w:hAnsi="Calibri"/>
                <w:b/>
                <w:color w:val="1F3864"/>
                <w:sz w:val="18"/>
              </w:rPr>
              <w:t>Máx.: 30 pts</w:t>
            </w:r>
          </w:p>
        </w:tc>
      </w:tr>
      <w:tr>
        <w:tc>
          <w:tcPr>
            <w:tcW w:type="dxa" w:w="510"/>
            <w:shd w:val="clear" w:color="auto" w:fill="1A5276"/>
          </w:tcPr>
          <w:p/>
        </w:tc>
        <w:tc>
          <w:tcPr>
            <w:tcW w:type="dxa" w:w="624"/>
            <w:shd w:val="clear" w:color="auto" w:fill="E6EFF8"/>
          </w:tcPr>
          <w:p>
            <w:pPr>
              <w:spacing w:before="60" w:after="60"/>
              <w:jc w:val="center"/>
            </w:pPr>
            <w:r>
              <w:rPr>
                <w:rFonts w:ascii="Calibri" w:hAnsi="Calibri"/>
                <w:b/>
                <w:color w:val="1A5276"/>
                <w:sz w:val="17"/>
              </w:rPr>
              <w:t>C.1</w:t>
            </w:r>
          </w:p>
        </w:tc>
        <w:tc>
          <w:tcPr>
            <w:tcW w:type="dxa" w:w="2154"/>
            <w:shd w:val="clear" w:color="auto" w:fill="E6EFF8"/>
          </w:tcPr>
          <w:p>
            <w:pPr>
              <w:spacing w:before="60" w:after="60"/>
            </w:pPr>
            <w:r>
              <w:rPr>
                <w:rFonts w:ascii="Calibri" w:hAnsi="Calibri"/>
                <w:b/>
                <w:sz w:val="17"/>
              </w:rPr>
              <w:t>Tipo de soporte de custodia de la clave privada</w:t>
            </w:r>
          </w:p>
        </w:tc>
        <w:tc>
          <w:tcPr>
            <w:tcW w:type="dxa" w:w="1701"/>
            <w:shd w:val="clear" w:color="auto" w:fill="E8F5DD"/>
          </w:tcPr>
          <w:p>
            <w:pPr>
              <w:spacing w:before="60" w:after="60"/>
            </w:pPr>
            <w:r>
              <w:rPr>
                <w:rFonts w:ascii="Calibri" w:hAnsi="Calibri"/>
                <w:b w:val="0"/>
                <w:sz w:val="17"/>
              </w:rPr>
              <w:t>Custodio institucional especializado (Prosegur Crypto o ORGA) con contrato</w:t>
            </w:r>
          </w:p>
        </w:tc>
        <w:tc>
          <w:tcPr>
            <w:tcW w:type="dxa" w:w="1701"/>
            <w:shd w:val="clear" w:color="auto" w:fill="FFF8CC"/>
          </w:tcPr>
          <w:p>
            <w:pPr>
              <w:spacing w:before="60" w:after="60"/>
            </w:pPr>
            <w:r>
              <w:rPr>
                <w:rFonts w:ascii="Calibri" w:hAnsi="Calibri"/>
                <w:b w:val="0"/>
                <w:sz w:val="17"/>
              </w:rPr>
              <w:t>Monedero frío policial bajo acta formal de entrega al LAJ</w:t>
            </w:r>
          </w:p>
        </w:tc>
        <w:tc>
          <w:tcPr>
            <w:tcW w:type="dxa" w:w="1701"/>
            <w:shd w:val="clear" w:color="auto" w:fill="FFE5E5"/>
          </w:tcPr>
          <w:p>
            <w:pPr>
              <w:spacing w:before="60" w:after="60"/>
            </w:pPr>
            <w:r>
              <w:rPr>
                <w:rFonts w:ascii="Calibri" w:hAnsi="Calibri"/>
                <w:b w:val="0"/>
                <w:sz w:val="17"/>
              </w:rPr>
              <w:t>Soporte en papel, dispositivo sin cifrar o custodia informal sin acta</w:t>
            </w:r>
          </w:p>
        </w:tc>
      </w:tr>
      <w:tr>
        <w:tc>
          <w:tcPr>
            <w:tcW w:type="dxa" w:w="510"/>
            <w:shd w:val="clear" w:color="auto" w:fill="1A5276"/>
          </w:tcPr>
          <w:p/>
        </w:tc>
        <w:tc>
          <w:tcPr>
            <w:tcW w:type="dxa" w:w="624"/>
            <w:shd w:val="clear" w:color="auto" w:fill="E6EFF8"/>
          </w:tcPr>
          <w:p>
            <w:pPr>
              <w:spacing w:before="60" w:after="60"/>
              <w:jc w:val="center"/>
            </w:pPr>
            <w:r>
              <w:rPr>
                <w:rFonts w:ascii="Calibri" w:hAnsi="Calibri"/>
                <w:b/>
                <w:color w:val="1A5276"/>
                <w:sz w:val="17"/>
              </w:rPr>
              <w:t>C.2</w:t>
            </w:r>
          </w:p>
        </w:tc>
        <w:tc>
          <w:tcPr>
            <w:tcW w:type="dxa" w:w="2154"/>
            <w:shd w:val="clear" w:color="auto" w:fill="E6EFF8"/>
          </w:tcPr>
          <w:p>
            <w:pPr>
              <w:spacing w:before="60" w:after="60"/>
            </w:pPr>
            <w:r>
              <w:rPr>
                <w:rFonts w:ascii="Calibri" w:hAnsi="Calibri"/>
                <w:b/>
                <w:sz w:val="17"/>
              </w:rPr>
              <w:t>Número de personas con conocimiento de la clave privada</w:t>
            </w:r>
          </w:p>
        </w:tc>
        <w:tc>
          <w:tcPr>
            <w:tcW w:type="dxa" w:w="1701"/>
            <w:shd w:val="clear" w:color="auto" w:fill="E8F5DD"/>
          </w:tcPr>
          <w:p>
            <w:pPr>
              <w:spacing w:before="60" w:after="60"/>
            </w:pPr>
            <w:r>
              <w:rPr>
                <w:rFonts w:ascii="Calibri" w:hAnsi="Calibri"/>
                <w:b w:val="0"/>
                <w:sz w:val="17"/>
              </w:rPr>
              <w:t>Una sola persona con acta de entrega y registro nominativo</w:t>
            </w:r>
          </w:p>
        </w:tc>
        <w:tc>
          <w:tcPr>
            <w:tcW w:type="dxa" w:w="1701"/>
            <w:shd w:val="clear" w:color="auto" w:fill="FFF8CC"/>
          </w:tcPr>
          <w:p>
            <w:pPr>
              <w:spacing w:before="60" w:after="60"/>
            </w:pPr>
            <w:r>
              <w:rPr>
                <w:rFonts w:ascii="Calibri" w:hAnsi="Calibri"/>
                <w:b w:val="0"/>
                <w:sz w:val="17"/>
              </w:rPr>
              <w:t>Dos o tres personas con registro documentado de acceso</w:t>
            </w:r>
          </w:p>
        </w:tc>
        <w:tc>
          <w:tcPr>
            <w:tcW w:type="dxa" w:w="1701"/>
            <w:shd w:val="clear" w:color="auto" w:fill="FFE5E5"/>
          </w:tcPr>
          <w:p>
            <w:pPr>
              <w:spacing w:before="60" w:after="60"/>
            </w:pPr>
            <w:r>
              <w:rPr>
                <w:rFonts w:ascii="Calibri" w:hAnsi="Calibri"/>
                <w:b w:val="0"/>
                <w:sz w:val="17"/>
              </w:rPr>
              <w:t>Más de tres personas o acceso sin documentación formal</w:t>
            </w:r>
          </w:p>
        </w:tc>
      </w:tr>
      <w:tr>
        <w:tc>
          <w:tcPr>
            <w:tcW w:type="dxa" w:w="510"/>
            <w:shd w:val="clear" w:color="auto" w:fill="1A5276"/>
          </w:tcPr>
          <w:p/>
        </w:tc>
        <w:tc>
          <w:tcPr>
            <w:tcW w:type="dxa" w:w="624"/>
            <w:shd w:val="clear" w:color="auto" w:fill="E6EFF8"/>
          </w:tcPr>
          <w:p>
            <w:pPr>
              <w:spacing w:before="60" w:after="60"/>
              <w:jc w:val="center"/>
            </w:pPr>
            <w:r>
              <w:rPr>
                <w:rFonts w:ascii="Calibri" w:hAnsi="Calibri"/>
                <w:b/>
                <w:color w:val="1A5276"/>
                <w:sz w:val="17"/>
              </w:rPr>
              <w:t>C.3</w:t>
            </w:r>
          </w:p>
        </w:tc>
        <w:tc>
          <w:tcPr>
            <w:tcW w:type="dxa" w:w="2154"/>
            <w:shd w:val="clear" w:color="auto" w:fill="E6EFF8"/>
          </w:tcPr>
          <w:p>
            <w:pPr>
              <w:spacing w:before="60" w:after="60"/>
            </w:pPr>
            <w:r>
              <w:rPr>
                <w:rFonts w:ascii="Calibri" w:hAnsi="Calibri"/>
                <w:b/>
                <w:sz w:val="17"/>
              </w:rPr>
              <w:t>Calidad de la trazabilidad del activo en la cadena de bloques</w:t>
            </w:r>
          </w:p>
        </w:tc>
        <w:tc>
          <w:tcPr>
            <w:tcW w:type="dxa" w:w="1701"/>
            <w:shd w:val="clear" w:color="auto" w:fill="E8F5DD"/>
          </w:tcPr>
          <w:p>
            <w:pPr>
              <w:spacing w:before="60" w:after="60"/>
            </w:pPr>
            <w:r>
              <w:rPr>
                <w:rFonts w:ascii="Calibri" w:hAnsi="Calibri"/>
                <w:b w:val="0"/>
                <w:sz w:val="17"/>
              </w:rPr>
              <w:t>Dirección vinculada directamente al investigado mediante datos del exchange con KYC</w:t>
            </w:r>
          </w:p>
        </w:tc>
        <w:tc>
          <w:tcPr>
            <w:tcW w:type="dxa" w:w="1701"/>
            <w:shd w:val="clear" w:color="auto" w:fill="FFF8CC"/>
          </w:tcPr>
          <w:p>
            <w:pPr>
              <w:spacing w:before="60" w:after="60"/>
            </w:pPr>
            <w:r>
              <w:rPr>
                <w:rFonts w:ascii="Calibri" w:hAnsi="Calibri"/>
                <w:b w:val="0"/>
                <w:sz w:val="17"/>
              </w:rPr>
              <w:t>Dirección identificada mediante heurísticas de clustering, sin vinculación directa</w:t>
            </w:r>
          </w:p>
        </w:tc>
        <w:tc>
          <w:tcPr>
            <w:tcW w:type="dxa" w:w="1701"/>
            <w:shd w:val="clear" w:color="auto" w:fill="FFE5E5"/>
          </w:tcPr>
          <w:p>
            <w:pPr>
              <w:spacing w:before="60" w:after="60"/>
            </w:pPr>
            <w:r>
              <w:rPr>
                <w:rFonts w:ascii="Calibri" w:hAnsi="Calibri"/>
                <w:b w:val="0"/>
                <w:sz w:val="17"/>
              </w:rPr>
              <w:t>Activo trazado parcialmente o flujo interrumpido por mixer, tumbler o moneda de privacidad</w:t>
            </w:r>
          </w:p>
        </w:tc>
      </w:tr>
    </w:tbl>
    <w:p>
      <w:pPr>
        <w:spacing w:after="80"/>
      </w:pP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3288"/>
            <w:gridSpan w:val="3"/>
            <w:shd w:val="clear" w:color="auto" w:fill="922B21"/>
          </w:tcPr>
          <w:p>
            <w:pPr>
              <w:spacing w:before="80" w:after="80"/>
            </w:pPr>
            <w:r>
              <w:rPr>
                <w:rFonts w:ascii="Calibri" w:hAnsi="Calibri"/>
                <w:b/>
                <w:color w:val="FFFFFF"/>
                <w:sz w:val="20"/>
              </w:rPr>
              <w:t>D3 — Contexto Operativo Policial</w:t>
            </w:r>
          </w:p>
        </w:tc>
        <w:tc>
          <w:tcPr>
            <w:tcW w:type="dxa" w:w="1701"/>
            <w:shd w:val="clear" w:color="auto" w:fill="E6EFF8"/>
          </w:tcPr>
          <w:p>
            <w:pPr>
              <w:spacing w:before="80" w:after="80"/>
              <w:jc w:val="center"/>
            </w:pPr>
            <w:r>
              <w:rPr>
                <w:rFonts w:ascii="Calibri" w:hAnsi="Calibri"/>
                <w:b/>
                <w:color w:val="1F3864"/>
                <w:sz w:val="18"/>
              </w:rPr>
              <w:t>Peso: 35 %</w:t>
            </w:r>
          </w:p>
        </w:tc>
        <w:tc>
          <w:tcPr>
            <w:tcW w:type="dxa" w:w="1701"/>
            <w:shd w:val="clear" w:color="auto" w:fill="E6EFF8"/>
          </w:tcPr>
          <w:p>
            <w:pPr>
              <w:spacing w:before="80" w:after="80"/>
              <w:jc w:val="center"/>
            </w:pPr>
            <w:r>
              <w:rPr>
                <w:rFonts w:ascii="Calibri" w:hAnsi="Calibri"/>
                <w:b/>
                <w:color w:val="1F3864"/>
                <w:sz w:val="18"/>
              </w:rPr>
              <w:t>Factor: 5,833</w:t>
            </w:r>
          </w:p>
        </w:tc>
        <w:tc>
          <w:tcPr>
            <w:tcW w:type="dxa" w:w="1701"/>
            <w:shd w:val="clear" w:color="auto" w:fill="E6EFF8"/>
          </w:tcPr>
          <w:p>
            <w:pPr>
              <w:spacing w:before="80" w:after="80"/>
              <w:jc w:val="center"/>
            </w:pPr>
            <w:r>
              <w:rPr>
                <w:rFonts w:ascii="Calibri" w:hAnsi="Calibri"/>
                <w:b/>
                <w:color w:val="1F3864"/>
                <w:sz w:val="18"/>
              </w:rPr>
              <w:t>Máx.: 35 pts</w:t>
            </w:r>
          </w:p>
        </w:tc>
      </w:tr>
      <w:tr>
        <w:tc>
          <w:tcPr>
            <w:tcW w:type="dxa" w:w="510"/>
            <w:shd w:val="clear" w:color="auto" w:fill="922B21"/>
          </w:tcPr>
          <w:p/>
        </w:tc>
        <w:tc>
          <w:tcPr>
            <w:tcW w:type="dxa" w:w="624"/>
            <w:shd w:val="clear" w:color="auto" w:fill="E6EFF8"/>
          </w:tcPr>
          <w:p>
            <w:pPr>
              <w:spacing w:before="60" w:after="60"/>
              <w:jc w:val="center"/>
            </w:pPr>
            <w:r>
              <w:rPr>
                <w:rFonts w:ascii="Calibri" w:hAnsi="Calibri"/>
                <w:b/>
                <w:color w:val="922B21"/>
                <w:sz w:val="17"/>
              </w:rPr>
              <w:t>J.1</w:t>
            </w:r>
          </w:p>
        </w:tc>
        <w:tc>
          <w:tcPr>
            <w:tcW w:type="dxa" w:w="2154"/>
            <w:shd w:val="clear" w:color="auto" w:fill="E6EFF8"/>
          </w:tcPr>
          <w:p>
            <w:pPr>
              <w:spacing w:before="60" w:after="60"/>
            </w:pPr>
            <w:r>
              <w:rPr>
                <w:rFonts w:ascii="Calibri" w:hAnsi="Calibri"/>
                <w:b/>
                <w:sz w:val="17"/>
              </w:rPr>
              <w:t>Existencia de protocolo previo en la unidad para intervención de criptoactivos</w:t>
            </w:r>
          </w:p>
        </w:tc>
        <w:tc>
          <w:tcPr>
            <w:tcW w:type="dxa" w:w="1701"/>
            <w:shd w:val="clear" w:color="auto" w:fill="E8F5DD"/>
          </w:tcPr>
          <w:p>
            <w:pPr>
              <w:spacing w:before="60" w:after="60"/>
            </w:pPr>
            <w:r>
              <w:rPr>
                <w:rFonts w:ascii="Calibri" w:hAnsi="Calibri"/>
                <w:b w:val="0"/>
                <w:sz w:val="17"/>
              </w:rPr>
              <w:t>Unidad con protocolo documentado y personal con formación acreditada</w:t>
            </w:r>
          </w:p>
        </w:tc>
        <w:tc>
          <w:tcPr>
            <w:tcW w:type="dxa" w:w="1701"/>
            <w:shd w:val="clear" w:color="auto" w:fill="FFF8CC"/>
          </w:tcPr>
          <w:p>
            <w:pPr>
              <w:spacing w:before="60" w:after="60"/>
            </w:pPr>
            <w:r>
              <w:rPr>
                <w:rFonts w:ascii="Calibri" w:hAnsi="Calibri"/>
                <w:b w:val="0"/>
                <w:sz w:val="17"/>
              </w:rPr>
              <w:t>Sin protocolo propio pero con acceso a unidad especializada de apoyo</w:t>
            </w:r>
          </w:p>
        </w:tc>
        <w:tc>
          <w:tcPr>
            <w:tcW w:type="dxa" w:w="1701"/>
            <w:shd w:val="clear" w:color="auto" w:fill="FFE5E5"/>
          </w:tcPr>
          <w:p>
            <w:pPr>
              <w:spacing w:before="60" w:after="60"/>
            </w:pPr>
            <w:r>
              <w:rPr>
                <w:rFonts w:ascii="Calibri" w:hAnsi="Calibri"/>
                <w:b w:val="0"/>
                <w:sz w:val="17"/>
              </w:rPr>
              <w:t>Sin protocolo, sin personal formado y sin unidad especializada de apoyo</w:t>
            </w:r>
          </w:p>
        </w:tc>
      </w:tr>
      <w:tr>
        <w:tc>
          <w:tcPr>
            <w:tcW w:type="dxa" w:w="510"/>
            <w:shd w:val="clear" w:color="auto" w:fill="922B21"/>
          </w:tcPr>
          <w:p/>
        </w:tc>
        <w:tc>
          <w:tcPr>
            <w:tcW w:type="dxa" w:w="624"/>
            <w:shd w:val="clear" w:color="auto" w:fill="E6EFF8"/>
          </w:tcPr>
          <w:p>
            <w:pPr>
              <w:spacing w:before="60" w:after="60"/>
              <w:jc w:val="center"/>
            </w:pPr>
            <w:r>
              <w:rPr>
                <w:rFonts w:ascii="Calibri" w:hAnsi="Calibri"/>
                <w:b/>
                <w:color w:val="922B21"/>
                <w:sz w:val="17"/>
              </w:rPr>
              <w:t>J.2</w:t>
            </w:r>
          </w:p>
        </w:tc>
        <w:tc>
          <w:tcPr>
            <w:tcW w:type="dxa" w:w="2154"/>
            <w:shd w:val="clear" w:color="auto" w:fill="E6EFF8"/>
          </w:tcPr>
          <w:p>
            <w:pPr>
              <w:spacing w:before="60" w:after="60"/>
            </w:pPr>
            <w:r>
              <w:rPr>
                <w:rFonts w:ascii="Calibri" w:hAnsi="Calibri"/>
                <w:b/>
                <w:sz w:val="17"/>
              </w:rPr>
              <w:t>Urgencia de la decisión de enajenación anticipada</w:t>
            </w:r>
          </w:p>
        </w:tc>
        <w:tc>
          <w:tcPr>
            <w:tcW w:type="dxa" w:w="1701"/>
            <w:shd w:val="clear" w:color="auto" w:fill="E8F5DD"/>
          </w:tcPr>
          <w:p>
            <w:pPr>
              <w:spacing w:before="60" w:after="60"/>
            </w:pPr>
            <w:r>
              <w:rPr>
                <w:rFonts w:ascii="Calibri" w:hAnsi="Calibri"/>
                <w:b w:val="0"/>
                <w:sz w:val="17"/>
              </w:rPr>
              <w:t>Activo estable y causa corta; custodia ordinaria sin riesgo patrimonial relevante</w:t>
            </w:r>
          </w:p>
        </w:tc>
        <w:tc>
          <w:tcPr>
            <w:tcW w:type="dxa" w:w="1701"/>
            <w:shd w:val="clear" w:color="auto" w:fill="FFF8CC"/>
          </w:tcPr>
          <w:p>
            <w:pPr>
              <w:spacing w:before="60" w:after="60"/>
            </w:pPr>
            <w:r>
              <w:rPr>
                <w:rFonts w:ascii="Calibri" w:hAnsi="Calibri"/>
                <w:b w:val="0"/>
                <w:sz w:val="17"/>
              </w:rPr>
              <w:t>Volatilidad moderada o causa larga; conveniente elevar propuesta al Fiscal en plazo breve</w:t>
            </w:r>
          </w:p>
        </w:tc>
        <w:tc>
          <w:tcPr>
            <w:tcW w:type="dxa" w:w="1701"/>
            <w:shd w:val="clear" w:color="auto" w:fill="FFE5E5"/>
          </w:tcPr>
          <w:p>
            <w:pPr>
              <w:spacing w:before="60" w:after="60"/>
            </w:pPr>
            <w:r>
              <w:rPr>
                <w:rFonts w:ascii="Calibri" w:hAnsi="Calibri"/>
                <w:b w:val="0"/>
                <w:sz w:val="17"/>
              </w:rPr>
              <w:t>Alta volatilidad o valor elevado con causa larga; riesgo patrimonial inmediato</w:t>
            </w:r>
          </w:p>
        </w:tc>
      </w:tr>
      <w:tr>
        <w:tc>
          <w:tcPr>
            <w:tcW w:type="dxa" w:w="510"/>
            <w:shd w:val="clear" w:color="auto" w:fill="922B21"/>
          </w:tcPr>
          <w:p/>
        </w:tc>
        <w:tc>
          <w:tcPr>
            <w:tcW w:type="dxa" w:w="624"/>
            <w:shd w:val="clear" w:color="auto" w:fill="E6EFF8"/>
          </w:tcPr>
          <w:p>
            <w:pPr>
              <w:spacing w:before="60" w:after="60"/>
              <w:jc w:val="center"/>
            </w:pPr>
            <w:r>
              <w:rPr>
                <w:rFonts w:ascii="Calibri" w:hAnsi="Calibri"/>
                <w:b/>
                <w:color w:val="922B21"/>
                <w:sz w:val="17"/>
              </w:rPr>
              <w:t>J.3</w:t>
            </w:r>
          </w:p>
        </w:tc>
        <w:tc>
          <w:tcPr>
            <w:tcW w:type="dxa" w:w="2154"/>
            <w:shd w:val="clear" w:color="auto" w:fill="E6EFF8"/>
          </w:tcPr>
          <w:p>
            <w:pPr>
              <w:spacing w:before="60" w:after="60"/>
            </w:pPr>
            <w:r>
              <w:rPr>
                <w:rFonts w:ascii="Calibri" w:hAnsi="Calibri"/>
                <w:b/>
                <w:sz w:val="17"/>
              </w:rPr>
              <w:t>Historial de incidencias de la unidad</w:t>
            </w:r>
          </w:p>
        </w:tc>
        <w:tc>
          <w:tcPr>
            <w:tcW w:type="dxa" w:w="1701"/>
            <w:shd w:val="clear" w:color="auto" w:fill="E8F5DD"/>
          </w:tcPr>
          <w:p>
            <w:pPr>
              <w:spacing w:before="60" w:after="60"/>
            </w:pPr>
            <w:r>
              <w:rPr>
                <w:rFonts w:ascii="Calibri" w:hAnsi="Calibri"/>
                <w:b w:val="0"/>
                <w:sz w:val="17"/>
              </w:rPr>
              <w:t>Sin incidencias documentadas en intervenciones previas con activos digitales</w:t>
            </w:r>
          </w:p>
        </w:tc>
        <w:tc>
          <w:tcPr>
            <w:tcW w:type="dxa" w:w="1701"/>
            <w:shd w:val="clear" w:color="auto" w:fill="FFF8CC"/>
          </w:tcPr>
          <w:p>
            <w:pPr>
              <w:spacing w:before="60" w:after="60"/>
            </w:pPr>
            <w:r>
              <w:rPr>
                <w:rFonts w:ascii="Calibri" w:hAnsi="Calibri"/>
                <w:b w:val="0"/>
                <w:sz w:val="17"/>
              </w:rPr>
              <w:t>Algún antecedente de incidencia menor, documentado y resuelto</w:t>
            </w:r>
          </w:p>
        </w:tc>
        <w:tc>
          <w:tcPr>
            <w:tcW w:type="dxa" w:w="1701"/>
            <w:shd w:val="clear" w:color="auto" w:fill="FFE5E5"/>
          </w:tcPr>
          <w:p>
            <w:pPr>
              <w:spacing w:before="60" w:after="60"/>
            </w:pPr>
            <w:r>
              <w:rPr>
                <w:rFonts w:ascii="Calibri" w:hAnsi="Calibri"/>
                <w:b w:val="0"/>
                <w:sz w:val="17"/>
              </w:rPr>
              <w:t>Incidencias graves previas o ausencia total de registro histórico</w:t>
            </w:r>
          </w:p>
        </w:tc>
      </w:tr>
    </w:tbl>
    <w:p>
      <w:pPr>
        <w:spacing w:after="80"/>
      </w:pPr>
    </w:p>
    <w:p>
      <w:pPr>
        <w:spacing w:before="280" w:after="120"/>
        <w:pBdr>
          <w:bottom w:val="single" w:sz="6" w:color="1F3864"/>
        </w:pBdr>
      </w:pPr>
      <w:r>
        <w:rPr>
          <w:rFonts w:ascii="Calibri" w:hAnsi="Calibri"/>
          <w:b/>
          <w:color w:val="1F3864"/>
          <w:sz w:val="26"/>
        </w:rPr>
        <w:t>3. Niveles de riesgo y protocolo policial de actuación</w:t>
      </w:r>
    </w:p>
    <w:tbl>
      <w:tblPr>
        <w:tblStyle w:val="TableGrid"/>
        <w:tblW w:type="auto" w:w="0"/>
        <w:jc w:val="left"/>
        <w:tblLook w:firstColumn="1" w:firstRow="1" w:lastColumn="0" w:lastRow="0" w:noHBand="0" w:noVBand="1" w:val="04A0"/>
      </w:tblPr>
      <w:tblGrid>
        <w:gridCol w:w="3024"/>
        <w:gridCol w:w="3024"/>
        <w:gridCol w:w="3024"/>
      </w:tblGrid>
      <w:tr>
        <w:tc>
          <w:tcPr>
            <w:tcW w:type="dxa" w:w="1247"/>
            <w:shd w:val="clear" w:color="auto" w:fill="1F3864"/>
          </w:tcPr>
          <w:p>
            <w:pPr>
              <w:spacing w:before="60" w:after="60"/>
              <w:jc w:val="center"/>
            </w:pPr>
            <w:r>
              <w:rPr>
                <w:rFonts w:ascii="Calibri" w:hAnsi="Calibri"/>
                <w:b/>
                <w:color w:val="FFFFFF"/>
                <w:sz w:val="18"/>
              </w:rPr>
              <w:t>Nivel</w:t>
            </w:r>
          </w:p>
        </w:tc>
        <w:tc>
          <w:tcPr>
            <w:tcW w:type="dxa" w:w="1134"/>
            <w:shd w:val="clear" w:color="auto" w:fill="1F3864"/>
          </w:tcPr>
          <w:p>
            <w:pPr>
              <w:spacing w:before="60" w:after="60"/>
              <w:jc w:val="center"/>
            </w:pPr>
            <w:r>
              <w:rPr>
                <w:rFonts w:ascii="Calibri" w:hAnsi="Calibri"/>
                <w:b/>
                <w:color w:val="FFFFFF"/>
                <w:sz w:val="18"/>
              </w:rPr>
              <w:t>Puntuación</w:t>
            </w:r>
          </w:p>
        </w:tc>
        <w:tc>
          <w:tcPr>
            <w:tcW w:type="dxa" w:w="6406"/>
            <w:shd w:val="clear" w:color="auto" w:fill="1F3864"/>
          </w:tcPr>
          <w:p>
            <w:pPr>
              <w:spacing w:before="60" w:after="60"/>
              <w:jc w:val="center"/>
            </w:pPr>
            <w:r>
              <w:rPr>
                <w:rFonts w:ascii="Calibri" w:hAnsi="Calibri"/>
                <w:b/>
                <w:color w:val="FFFFFF"/>
                <w:sz w:val="18"/>
              </w:rPr>
              <w:t>Protocolo policial de actuación</w:t>
            </w:r>
          </w:p>
        </w:tc>
      </w:tr>
      <w:tr>
        <w:tc>
          <w:tcPr>
            <w:tcW w:type="dxa" w:w="1247"/>
            <w:shd w:val="clear" w:color="auto" w:fill="E8F5DD"/>
          </w:tcPr>
          <w:p>
            <w:pPr>
              <w:spacing w:before="80" w:after="80"/>
              <w:jc w:val="center"/>
            </w:pPr>
            <w:r>
              <w:rPr>
                <w:rFonts w:ascii="Calibri" w:hAnsi="Calibri"/>
                <w:b/>
                <w:color w:val="3D7020"/>
                <w:sz w:val="19"/>
              </w:rPr>
              <w:t>BAJO</w:t>
            </w:r>
          </w:p>
        </w:tc>
        <w:tc>
          <w:tcPr>
            <w:tcW w:type="dxa" w:w="1134"/>
            <w:shd w:val="clear" w:color="auto" w:fill="E8F5DD"/>
          </w:tcPr>
          <w:p>
            <w:pPr>
              <w:spacing w:before="80" w:after="80"/>
              <w:jc w:val="center"/>
            </w:pPr>
            <w:r>
              <w:rPr>
                <w:rFonts w:ascii="Calibri" w:hAnsi="Calibri"/>
                <w:b/>
                <w:color w:val="3D7020"/>
                <w:sz w:val="19"/>
              </w:rPr>
              <w:t>0 – 25</w:t>
            </w:r>
          </w:p>
        </w:tc>
        <w:tc>
          <w:tcPr>
            <w:tcW w:type="dxa" w:w="6406"/>
            <w:shd w:val="clear" w:color="auto" w:fill="FFFFFF"/>
          </w:tcPr>
          <w:p>
            <w:pPr>
              <w:spacing w:before="60" w:after="60"/>
            </w:pPr>
            <w:r>
              <w:rPr>
                <w:rFonts w:ascii="Calibri" w:hAnsi="Calibri"/>
                <w:sz w:val="18"/>
              </w:rPr>
              <w:t>Riesgo procesal controlado. Custodia ordinaria bajo supervisión del LAJ. Incorporar resultado al atestado. Reevaluar si algún indicador cambia significativamente, en particular ante variaciones relevantes del precio del activo.</w:t>
            </w:r>
          </w:p>
        </w:tc>
      </w:tr>
      <w:tr>
        <w:tc>
          <w:tcPr>
            <w:tcW w:type="dxa" w:w="1247"/>
            <w:shd w:val="clear" w:color="auto" w:fill="FFF8CC"/>
          </w:tcPr>
          <w:p>
            <w:pPr>
              <w:spacing w:before="80" w:after="80"/>
              <w:jc w:val="center"/>
            </w:pPr>
            <w:r>
              <w:rPr>
                <w:rFonts w:ascii="Calibri" w:hAnsi="Calibri"/>
                <w:b/>
                <w:color w:val="7D5C00"/>
                <w:sz w:val="19"/>
              </w:rPr>
              <w:t>MODERADO</w:t>
            </w:r>
          </w:p>
        </w:tc>
        <w:tc>
          <w:tcPr>
            <w:tcW w:type="dxa" w:w="1134"/>
            <w:shd w:val="clear" w:color="auto" w:fill="FFF8CC"/>
          </w:tcPr>
          <w:p>
            <w:pPr>
              <w:spacing w:before="80" w:after="80"/>
              <w:jc w:val="center"/>
            </w:pPr>
            <w:r>
              <w:rPr>
                <w:rFonts w:ascii="Calibri" w:hAnsi="Calibri"/>
                <w:b/>
                <w:color w:val="7D5C00"/>
                <w:sz w:val="19"/>
              </w:rPr>
              <w:t>26 – 50</w:t>
            </w:r>
          </w:p>
        </w:tc>
        <w:tc>
          <w:tcPr>
            <w:tcW w:type="dxa" w:w="6406"/>
            <w:shd w:val="clear" w:color="auto" w:fill="FFFFFF"/>
          </w:tcPr>
          <w:p>
            <w:pPr>
              <w:spacing w:before="60" w:after="60"/>
            </w:pPr>
            <w:r>
              <w:rPr>
                <w:rFonts w:ascii="Calibri" w:hAnsi="Calibri"/>
                <w:sz w:val="18"/>
              </w:rPr>
              <w:t>Riesgo procesal significativo. Valorar encomienda a la ORGA o custodio institucional especializado. Documentar variaciones de precio mensualmente. Si V.2 asciende a Alto, elevar propuesta motivada al Ministerio Fiscal para que inste la enajenación anticipada conforme al artículo 367 ter LECrim.</w:t>
            </w:r>
          </w:p>
        </w:tc>
      </w:tr>
      <w:tr>
        <w:tc>
          <w:tcPr>
            <w:tcW w:type="dxa" w:w="1247"/>
            <w:shd w:val="clear" w:color="auto" w:fill="FFF0D9"/>
          </w:tcPr>
          <w:p>
            <w:pPr>
              <w:spacing w:before="80" w:after="80"/>
              <w:jc w:val="center"/>
            </w:pPr>
            <w:r>
              <w:rPr>
                <w:rFonts w:ascii="Calibri" w:hAnsi="Calibri"/>
                <w:b/>
                <w:color w:val="A04800"/>
                <w:sz w:val="19"/>
              </w:rPr>
              <w:t>ALTO</w:t>
            </w:r>
          </w:p>
        </w:tc>
        <w:tc>
          <w:tcPr>
            <w:tcW w:type="dxa" w:w="1134"/>
            <w:shd w:val="clear" w:color="auto" w:fill="FFF0D9"/>
          </w:tcPr>
          <w:p>
            <w:pPr>
              <w:spacing w:before="80" w:after="80"/>
              <w:jc w:val="center"/>
            </w:pPr>
            <w:r>
              <w:rPr>
                <w:rFonts w:ascii="Calibri" w:hAnsi="Calibri"/>
                <w:b/>
                <w:color w:val="A04800"/>
                <w:sz w:val="19"/>
              </w:rPr>
              <w:t>51 – 75</w:t>
            </w:r>
          </w:p>
        </w:tc>
        <w:tc>
          <w:tcPr>
            <w:tcW w:type="dxa" w:w="6406"/>
            <w:shd w:val="clear" w:color="auto" w:fill="FFFFFF"/>
          </w:tcPr>
          <w:p>
            <w:pPr>
              <w:spacing w:before="60" w:after="60"/>
            </w:pPr>
            <w:r>
              <w:rPr>
                <w:rFonts w:ascii="Calibri" w:hAnsi="Calibri"/>
                <w:sz w:val="18"/>
              </w:rPr>
              <w:t>Riesgo procesal elevado. Elevar propuesta motivada al Ministerio Fiscal en el plazo más breve posible, con fundamento en la evaluación MGRPIC. Solicitar perito especializado en activos digitales. Valorar la enajenación anticipada o conversión a moneda fiduciaria estable.</w:t>
            </w:r>
          </w:p>
        </w:tc>
      </w:tr>
      <w:tr>
        <w:tc>
          <w:tcPr>
            <w:tcW w:type="dxa" w:w="1247"/>
            <w:shd w:val="clear" w:color="auto" w:fill="FFE5E5"/>
          </w:tcPr>
          <w:p>
            <w:pPr>
              <w:spacing w:before="80" w:after="80"/>
              <w:jc w:val="center"/>
            </w:pPr>
            <w:r>
              <w:rPr>
                <w:rFonts w:ascii="Calibri" w:hAnsi="Calibri"/>
                <w:b/>
                <w:color w:val="CC0000"/>
                <w:sz w:val="19"/>
              </w:rPr>
              <w:t>CRÍTICO</w:t>
            </w:r>
          </w:p>
        </w:tc>
        <w:tc>
          <w:tcPr>
            <w:tcW w:type="dxa" w:w="1134"/>
            <w:shd w:val="clear" w:color="auto" w:fill="FFE5E5"/>
          </w:tcPr>
          <w:p>
            <w:pPr>
              <w:spacing w:before="80" w:after="80"/>
              <w:jc w:val="center"/>
            </w:pPr>
            <w:r>
              <w:rPr>
                <w:rFonts w:ascii="Calibri" w:hAnsi="Calibri"/>
                <w:b/>
                <w:color w:val="CC0000"/>
                <w:sz w:val="19"/>
              </w:rPr>
              <w:t>76 – 100</w:t>
            </w:r>
          </w:p>
        </w:tc>
        <w:tc>
          <w:tcPr>
            <w:tcW w:type="dxa" w:w="6406"/>
            <w:shd w:val="clear" w:color="auto" w:fill="FFFFFF"/>
          </w:tcPr>
          <w:p>
            <w:pPr>
              <w:spacing w:before="60" w:after="60"/>
            </w:pPr>
            <w:r>
              <w:rPr>
                <w:rFonts w:ascii="Calibri" w:hAnsi="Calibri"/>
                <w:sz w:val="18"/>
              </w:rPr>
              <w:t>Riesgo procesal máximo. Actuación inmediata en las primeras 24-48 horas. Comunicación urgente al Ministerio Fiscal. Elevación inmediata de propuesta de enajenación anticipada al amparo del artículo 367 ter LECrim. Apertura de pieza separada de responsabilidad civil. Valorar el bloqueo cautelar de activos en exchanges identificados.</w:t>
            </w:r>
          </w:p>
        </w:tc>
      </w:tr>
    </w:tbl>
    <w:p/>
    <w:p>
      <w:pPr>
        <w:spacing w:before="280" w:after="120"/>
        <w:pBdr>
          <w:bottom w:val="single" w:sz="6" w:color="1F3864"/>
        </w:pBdr>
      </w:pPr>
      <w:r>
        <w:rPr>
          <w:rFonts w:ascii="Calibri" w:hAnsi="Calibri"/>
          <w:b/>
          <w:color w:val="1F3864"/>
          <w:sz w:val="26"/>
        </w:rPr>
        <w:t>4. Verificación matemática del modelo de ponderación</w:t>
      </w:r>
    </w:p>
    <w:p>
      <w:pPr>
        <w:spacing w:before="0" w:after="160"/>
        <w:jc w:val="left"/>
      </w:pPr>
      <w:r>
        <w:rPr>
          <w:rFonts w:ascii="Calibri" w:hAnsi="Calibri"/>
          <w:b w:val="0"/>
          <w:i w:val="0"/>
          <w:color w:val="1C2535"/>
          <w:sz w:val="20"/>
        </w:rPr>
        <w:t>La validez del sistema de ponderación se ha verificado mediante cinco casos tipo que cubren los extremos y los valores intermedios de la escala. Los resultados obtenidos por la herramienta coinciden con los valores calculados manualmente.</w:t>
      </w:r>
    </w:p>
    <w:tbl>
      <w:tblPr>
        <w:tblStyle w:val="TableGrid"/>
        <w:tblW w:type="auto" w:w="0"/>
        <w:jc w:val="lef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454"/>
            <w:shd w:val="clear" w:color="auto" w:fill="1F3864"/>
          </w:tcPr>
          <w:p>
            <w:pPr>
              <w:spacing w:before="40" w:after="40"/>
              <w:jc w:val="center"/>
            </w:pPr>
            <w:r>
              <w:rPr>
                <w:rFonts w:ascii="Calibri" w:hAnsi="Calibri"/>
                <w:b/>
                <w:color w:val="FFFFFF"/>
                <w:sz w:val="16"/>
              </w:rPr>
              <w:t>Caso</w:t>
            </w:r>
          </w:p>
        </w:tc>
        <w:tc>
          <w:tcPr>
            <w:tcW w:type="dxa" w:w="1474"/>
            <w:shd w:val="clear" w:color="auto" w:fill="6C3483"/>
          </w:tcPr>
          <w:p>
            <w:pPr>
              <w:spacing w:before="40" w:after="40"/>
              <w:jc w:val="center"/>
            </w:pPr>
            <w:r>
              <w:rPr>
                <w:rFonts w:ascii="Calibri" w:hAnsi="Calibri"/>
                <w:b/>
                <w:color w:val="FFFFFF"/>
                <w:sz w:val="16"/>
              </w:rPr>
              <w:t>D1 — Volatilidad</w:t>
            </w:r>
          </w:p>
        </w:tc>
        <w:tc>
          <w:tcPr>
            <w:tcW w:type="dxa" w:w="1474"/>
            <w:shd w:val="clear" w:color="auto" w:fill="1A5276"/>
          </w:tcPr>
          <w:p>
            <w:pPr>
              <w:spacing w:before="40" w:after="40"/>
              <w:jc w:val="center"/>
            </w:pPr>
            <w:r>
              <w:rPr>
                <w:rFonts w:ascii="Calibri" w:hAnsi="Calibri"/>
                <w:b/>
                <w:color w:val="FFFFFF"/>
                <w:sz w:val="16"/>
              </w:rPr>
              <w:t>D2 — Custodia y traz.</w:t>
            </w:r>
          </w:p>
        </w:tc>
        <w:tc>
          <w:tcPr>
            <w:tcW w:type="dxa" w:w="1474"/>
            <w:shd w:val="clear" w:color="auto" w:fill="922B21"/>
          </w:tcPr>
          <w:p>
            <w:pPr>
              <w:spacing w:before="40" w:after="40"/>
              <w:jc w:val="center"/>
            </w:pPr>
            <w:r>
              <w:rPr>
                <w:rFonts w:ascii="Calibri" w:hAnsi="Calibri"/>
                <w:b/>
                <w:color w:val="FFFFFF"/>
                <w:sz w:val="16"/>
              </w:rPr>
              <w:t>D3 — Contexto op.</w:t>
            </w:r>
          </w:p>
        </w:tc>
        <w:tc>
          <w:tcPr>
            <w:tcW w:type="dxa" w:w="624"/>
            <w:shd w:val="clear" w:color="auto" w:fill="E6EFF8"/>
          </w:tcPr>
          <w:p>
            <w:pPr>
              <w:spacing w:before="40" w:after="40"/>
              <w:jc w:val="center"/>
            </w:pPr>
            <w:r>
              <w:rPr>
                <w:rFonts w:ascii="Calibri" w:hAnsi="Calibri"/>
                <w:b/>
                <w:color w:val="1F3864"/>
                <w:sz w:val="16"/>
              </w:rPr>
              <w:t>Pts. D1</w:t>
            </w:r>
          </w:p>
        </w:tc>
        <w:tc>
          <w:tcPr>
            <w:tcW w:type="dxa" w:w="624"/>
            <w:shd w:val="clear" w:color="auto" w:fill="E6EFF8"/>
          </w:tcPr>
          <w:p>
            <w:pPr>
              <w:spacing w:before="40" w:after="40"/>
              <w:jc w:val="center"/>
            </w:pPr>
            <w:r>
              <w:rPr>
                <w:rFonts w:ascii="Calibri" w:hAnsi="Calibri"/>
                <w:b/>
                <w:color w:val="1F3864"/>
                <w:sz w:val="16"/>
              </w:rPr>
              <w:t>Pts. D2</w:t>
            </w:r>
          </w:p>
        </w:tc>
        <w:tc>
          <w:tcPr>
            <w:tcW w:type="dxa" w:w="624"/>
            <w:shd w:val="clear" w:color="auto" w:fill="E6EFF8"/>
          </w:tcPr>
          <w:p>
            <w:pPr>
              <w:spacing w:before="40" w:after="40"/>
              <w:jc w:val="center"/>
            </w:pPr>
            <w:r>
              <w:rPr>
                <w:rFonts w:ascii="Calibri" w:hAnsi="Calibri"/>
                <w:b/>
                <w:color w:val="1F3864"/>
                <w:sz w:val="16"/>
              </w:rPr>
              <w:t>Pts. D3</w:t>
            </w:r>
          </w:p>
        </w:tc>
        <w:tc>
          <w:tcPr>
            <w:tcW w:type="dxa" w:w="624"/>
            <w:shd w:val="clear" w:color="auto" w:fill="E6EFF8"/>
          </w:tcPr>
          <w:p>
            <w:pPr>
              <w:spacing w:before="40" w:after="40"/>
              <w:jc w:val="center"/>
            </w:pPr>
            <w:r>
              <w:rPr>
                <w:rFonts w:ascii="Calibri" w:hAnsi="Calibri"/>
                <w:b/>
                <w:color w:val="1F3864"/>
                <w:sz w:val="16"/>
              </w:rPr>
              <w:t>Total</w:t>
            </w:r>
          </w:p>
        </w:tc>
        <w:tc>
          <w:tcPr>
            <w:tcW w:type="dxa" w:w="850"/>
            <w:shd w:val="clear" w:color="auto" w:fill="1F3864"/>
          </w:tcPr>
          <w:p>
            <w:pPr>
              <w:spacing w:before="40" w:after="40"/>
              <w:jc w:val="center"/>
            </w:pPr>
            <w:r>
              <w:rPr>
                <w:rFonts w:ascii="Calibri" w:hAnsi="Calibri"/>
                <w:b/>
                <w:color w:val="FFFFFF"/>
                <w:sz w:val="16"/>
              </w:rPr>
              <w:t>Nivel</w:t>
            </w:r>
          </w:p>
        </w:tc>
      </w:tr>
      <w:tr>
        <w:tc>
          <w:tcPr>
            <w:tcW w:type="dxa" w:w="454"/>
            <w:shd w:val="clear" w:color="auto" w:fill="E8F5DD"/>
          </w:tcPr>
          <w:p>
            <w:pPr>
              <w:spacing w:before="40" w:after="40"/>
              <w:jc w:val="center"/>
            </w:pPr>
            <w:r>
              <w:rPr>
                <w:rFonts w:ascii="Calibri" w:hAnsi="Calibri"/>
                <w:b/>
                <w:color w:val="3D7020"/>
                <w:sz w:val="16"/>
              </w:rPr>
              <w:t>A</w:t>
            </w:r>
          </w:p>
        </w:tc>
        <w:tc>
          <w:tcPr>
            <w:tcW w:type="dxa" w:w="1474"/>
            <w:shd w:val="clear" w:color="auto" w:fill="FFFFFF"/>
          </w:tcPr>
          <w:p>
            <w:pPr>
              <w:spacing w:before="40" w:after="40"/>
              <w:jc w:val="center"/>
            </w:pPr>
            <w:r>
              <w:rPr>
                <w:rFonts w:ascii="Calibri" w:hAnsi="Calibri"/>
                <w:b w:val="0"/>
                <w:sz w:val="16"/>
              </w:rPr>
              <w:t>V1=1, V2=0, V3=1, V4=1</w:t>
            </w:r>
          </w:p>
        </w:tc>
        <w:tc>
          <w:tcPr>
            <w:tcW w:type="dxa" w:w="1474"/>
            <w:shd w:val="clear" w:color="auto" w:fill="FFFFFF"/>
          </w:tcPr>
          <w:p>
            <w:pPr>
              <w:spacing w:before="40" w:after="40"/>
              <w:jc w:val="center"/>
            </w:pPr>
            <w:r>
              <w:rPr>
                <w:rFonts w:ascii="Calibri" w:hAnsi="Calibri"/>
                <w:b w:val="0"/>
                <w:sz w:val="16"/>
              </w:rPr>
              <w:t>C1=0, C2=0, C3=0</w:t>
            </w:r>
          </w:p>
        </w:tc>
        <w:tc>
          <w:tcPr>
            <w:tcW w:type="dxa" w:w="1474"/>
            <w:shd w:val="clear" w:color="auto" w:fill="FFFFFF"/>
          </w:tcPr>
          <w:p>
            <w:pPr>
              <w:spacing w:before="40" w:after="40"/>
              <w:jc w:val="center"/>
            </w:pPr>
            <w:r>
              <w:rPr>
                <w:rFonts w:ascii="Calibri" w:hAnsi="Calibri"/>
                <w:b w:val="0"/>
                <w:sz w:val="16"/>
              </w:rPr>
              <w:t>J1=1, J2=0, J3=0</w:t>
            </w:r>
          </w:p>
        </w:tc>
        <w:tc>
          <w:tcPr>
            <w:tcW w:type="dxa" w:w="624"/>
            <w:shd w:val="clear" w:color="auto" w:fill="FFFFFF"/>
          </w:tcPr>
          <w:p>
            <w:pPr>
              <w:spacing w:before="40" w:after="40"/>
              <w:jc w:val="center"/>
            </w:pPr>
            <w:r>
              <w:rPr>
                <w:rFonts w:ascii="Calibri" w:hAnsi="Calibri"/>
                <w:b w:val="0"/>
                <w:sz w:val="16"/>
              </w:rPr>
              <w:t>13,13</w:t>
            </w:r>
          </w:p>
        </w:tc>
        <w:tc>
          <w:tcPr>
            <w:tcW w:type="dxa" w:w="624"/>
            <w:shd w:val="clear" w:color="auto" w:fill="FFFFFF"/>
          </w:tcPr>
          <w:p>
            <w:pPr>
              <w:spacing w:before="40" w:after="40"/>
              <w:jc w:val="center"/>
            </w:pPr>
            <w:r>
              <w:rPr>
                <w:rFonts w:ascii="Calibri" w:hAnsi="Calibri"/>
                <w:b w:val="0"/>
                <w:sz w:val="16"/>
              </w:rPr>
              <w:t>0,00</w:t>
            </w:r>
          </w:p>
        </w:tc>
        <w:tc>
          <w:tcPr>
            <w:tcW w:type="dxa" w:w="624"/>
            <w:shd w:val="clear" w:color="auto" w:fill="FFFFFF"/>
          </w:tcPr>
          <w:p>
            <w:pPr>
              <w:spacing w:before="40" w:after="40"/>
              <w:jc w:val="center"/>
            </w:pPr>
            <w:r>
              <w:rPr>
                <w:rFonts w:ascii="Calibri" w:hAnsi="Calibri"/>
                <w:b w:val="0"/>
                <w:sz w:val="16"/>
              </w:rPr>
              <w:t>5,83</w:t>
            </w:r>
          </w:p>
        </w:tc>
        <w:tc>
          <w:tcPr>
            <w:tcW w:type="dxa" w:w="624"/>
            <w:shd w:val="clear" w:color="auto" w:fill="FFFFFF"/>
          </w:tcPr>
          <w:p>
            <w:pPr>
              <w:spacing w:before="40" w:after="40"/>
              <w:jc w:val="center"/>
            </w:pPr>
            <w:r>
              <w:rPr>
                <w:rFonts w:ascii="Calibri" w:hAnsi="Calibri"/>
                <w:b/>
                <w:sz w:val="16"/>
              </w:rPr>
              <w:t>18,96</w:t>
            </w:r>
          </w:p>
        </w:tc>
        <w:tc>
          <w:tcPr>
            <w:tcW w:type="dxa" w:w="850"/>
            <w:shd w:val="clear" w:color="auto" w:fill="E8F5DD"/>
          </w:tcPr>
          <w:p>
            <w:pPr>
              <w:spacing w:before="40" w:after="40"/>
              <w:jc w:val="center"/>
            </w:pPr>
            <w:r>
              <w:rPr>
                <w:rFonts w:ascii="Calibri" w:hAnsi="Calibri"/>
                <w:b/>
                <w:color w:val="3D7020"/>
                <w:sz w:val="16"/>
              </w:rPr>
              <w:t>BAJO</w:t>
            </w:r>
          </w:p>
        </w:tc>
      </w:tr>
      <w:tr>
        <w:tc>
          <w:tcPr>
            <w:tcW w:type="dxa" w:w="454"/>
            <w:shd w:val="clear" w:color="auto" w:fill="FFE5E5"/>
          </w:tcPr>
          <w:p>
            <w:pPr>
              <w:spacing w:before="40" w:after="40"/>
              <w:jc w:val="center"/>
            </w:pPr>
            <w:r>
              <w:rPr>
                <w:rFonts w:ascii="Calibri" w:hAnsi="Calibri"/>
                <w:b/>
                <w:color w:val="CC0000"/>
                <w:sz w:val="16"/>
              </w:rPr>
              <w:t>B</w:t>
            </w:r>
          </w:p>
        </w:tc>
        <w:tc>
          <w:tcPr>
            <w:tcW w:type="dxa" w:w="1474"/>
            <w:shd w:val="clear" w:color="auto" w:fill="FFFFFF"/>
          </w:tcPr>
          <w:p>
            <w:pPr>
              <w:spacing w:before="40" w:after="40"/>
              <w:jc w:val="center"/>
            </w:pPr>
            <w:r>
              <w:rPr>
                <w:rFonts w:ascii="Calibri" w:hAnsi="Calibri"/>
                <w:b w:val="0"/>
                <w:sz w:val="16"/>
              </w:rPr>
              <w:t>V1=2, V2=2, V3=2, V4=2</w:t>
            </w:r>
          </w:p>
        </w:tc>
        <w:tc>
          <w:tcPr>
            <w:tcW w:type="dxa" w:w="1474"/>
            <w:shd w:val="clear" w:color="auto" w:fill="FFFFFF"/>
          </w:tcPr>
          <w:p>
            <w:pPr>
              <w:spacing w:before="40" w:after="40"/>
              <w:jc w:val="center"/>
            </w:pPr>
            <w:r>
              <w:rPr>
                <w:rFonts w:ascii="Calibri" w:hAnsi="Calibri"/>
                <w:b w:val="0"/>
                <w:sz w:val="16"/>
              </w:rPr>
              <w:t>C1=2, C2=2, C3=2</w:t>
            </w:r>
          </w:p>
        </w:tc>
        <w:tc>
          <w:tcPr>
            <w:tcW w:type="dxa" w:w="1474"/>
            <w:shd w:val="clear" w:color="auto" w:fill="FFFFFF"/>
          </w:tcPr>
          <w:p>
            <w:pPr>
              <w:spacing w:before="40" w:after="40"/>
              <w:jc w:val="center"/>
            </w:pPr>
            <w:r>
              <w:rPr>
                <w:rFonts w:ascii="Calibri" w:hAnsi="Calibri"/>
                <w:b w:val="0"/>
                <w:sz w:val="16"/>
              </w:rPr>
              <w:t>J1=2, J2=2, J3=2</w:t>
            </w:r>
          </w:p>
        </w:tc>
        <w:tc>
          <w:tcPr>
            <w:tcW w:type="dxa" w:w="624"/>
            <w:shd w:val="clear" w:color="auto" w:fill="FFFFFF"/>
          </w:tcPr>
          <w:p>
            <w:pPr>
              <w:spacing w:before="40" w:after="40"/>
              <w:jc w:val="center"/>
            </w:pPr>
            <w:r>
              <w:rPr>
                <w:rFonts w:ascii="Calibri" w:hAnsi="Calibri"/>
                <w:b w:val="0"/>
                <w:sz w:val="16"/>
              </w:rPr>
              <w:t>35,00</w:t>
            </w:r>
          </w:p>
        </w:tc>
        <w:tc>
          <w:tcPr>
            <w:tcW w:type="dxa" w:w="624"/>
            <w:shd w:val="clear" w:color="auto" w:fill="FFFFFF"/>
          </w:tcPr>
          <w:p>
            <w:pPr>
              <w:spacing w:before="40" w:after="40"/>
              <w:jc w:val="center"/>
            </w:pPr>
            <w:r>
              <w:rPr>
                <w:rFonts w:ascii="Calibri" w:hAnsi="Calibri"/>
                <w:b w:val="0"/>
                <w:sz w:val="16"/>
              </w:rPr>
              <w:t>30,00</w:t>
            </w:r>
          </w:p>
        </w:tc>
        <w:tc>
          <w:tcPr>
            <w:tcW w:type="dxa" w:w="624"/>
            <w:shd w:val="clear" w:color="auto" w:fill="FFFFFF"/>
          </w:tcPr>
          <w:p>
            <w:pPr>
              <w:spacing w:before="40" w:after="40"/>
              <w:jc w:val="center"/>
            </w:pPr>
            <w:r>
              <w:rPr>
                <w:rFonts w:ascii="Calibri" w:hAnsi="Calibri"/>
                <w:b w:val="0"/>
                <w:sz w:val="16"/>
              </w:rPr>
              <w:t>35,00</w:t>
            </w:r>
          </w:p>
        </w:tc>
        <w:tc>
          <w:tcPr>
            <w:tcW w:type="dxa" w:w="624"/>
            <w:shd w:val="clear" w:color="auto" w:fill="FFFFFF"/>
          </w:tcPr>
          <w:p>
            <w:pPr>
              <w:spacing w:before="40" w:after="40"/>
              <w:jc w:val="center"/>
            </w:pPr>
            <w:r>
              <w:rPr>
                <w:rFonts w:ascii="Calibri" w:hAnsi="Calibri"/>
                <w:b/>
                <w:sz w:val="16"/>
              </w:rPr>
              <w:t>100,00</w:t>
            </w:r>
          </w:p>
        </w:tc>
        <w:tc>
          <w:tcPr>
            <w:tcW w:type="dxa" w:w="850"/>
            <w:shd w:val="clear" w:color="auto" w:fill="FFE5E5"/>
          </w:tcPr>
          <w:p>
            <w:pPr>
              <w:spacing w:before="40" w:after="40"/>
              <w:jc w:val="center"/>
            </w:pPr>
            <w:r>
              <w:rPr>
                <w:rFonts w:ascii="Calibri" w:hAnsi="Calibri"/>
                <w:b/>
                <w:color w:val="CC0000"/>
                <w:sz w:val="16"/>
              </w:rPr>
              <w:t>CRÍTICO</w:t>
            </w:r>
          </w:p>
        </w:tc>
      </w:tr>
      <w:tr>
        <w:tc>
          <w:tcPr>
            <w:tcW w:type="dxa" w:w="454"/>
            <w:shd w:val="clear" w:color="auto" w:fill="FFF0D9"/>
          </w:tcPr>
          <w:p>
            <w:pPr>
              <w:spacing w:before="40" w:after="40"/>
              <w:jc w:val="center"/>
            </w:pPr>
            <w:r>
              <w:rPr>
                <w:rFonts w:ascii="Calibri" w:hAnsi="Calibri"/>
                <w:b/>
                <w:color w:val="A04800"/>
                <w:sz w:val="16"/>
              </w:rPr>
              <w:t>C</w:t>
            </w:r>
          </w:p>
        </w:tc>
        <w:tc>
          <w:tcPr>
            <w:tcW w:type="dxa" w:w="1474"/>
            <w:shd w:val="clear" w:color="auto" w:fill="FFFFFF"/>
          </w:tcPr>
          <w:p>
            <w:pPr>
              <w:spacing w:before="40" w:after="40"/>
              <w:jc w:val="center"/>
            </w:pPr>
            <w:r>
              <w:rPr>
                <w:rFonts w:ascii="Calibri" w:hAnsi="Calibri"/>
                <w:b w:val="0"/>
                <w:sz w:val="16"/>
              </w:rPr>
              <w:t>V1=1, V2=1, V3=2, V4=2</w:t>
            </w:r>
          </w:p>
        </w:tc>
        <w:tc>
          <w:tcPr>
            <w:tcW w:type="dxa" w:w="1474"/>
            <w:shd w:val="clear" w:color="auto" w:fill="FFFFFF"/>
          </w:tcPr>
          <w:p>
            <w:pPr>
              <w:spacing w:before="40" w:after="40"/>
              <w:jc w:val="center"/>
            </w:pPr>
            <w:r>
              <w:rPr>
                <w:rFonts w:ascii="Calibri" w:hAnsi="Calibri"/>
                <w:b w:val="0"/>
                <w:sz w:val="16"/>
              </w:rPr>
              <w:t>C1=1, C2=1, C3=1</w:t>
            </w:r>
          </w:p>
        </w:tc>
        <w:tc>
          <w:tcPr>
            <w:tcW w:type="dxa" w:w="1474"/>
            <w:shd w:val="clear" w:color="auto" w:fill="FFFFFF"/>
          </w:tcPr>
          <w:p>
            <w:pPr>
              <w:spacing w:before="40" w:after="40"/>
              <w:jc w:val="center"/>
            </w:pPr>
            <w:r>
              <w:rPr>
                <w:rFonts w:ascii="Calibri" w:hAnsi="Calibri"/>
                <w:b w:val="0"/>
                <w:sz w:val="16"/>
              </w:rPr>
              <w:t>J1=1, J2=1, J3=1</w:t>
            </w:r>
          </w:p>
        </w:tc>
        <w:tc>
          <w:tcPr>
            <w:tcW w:type="dxa" w:w="624"/>
            <w:shd w:val="clear" w:color="auto" w:fill="FFFFFF"/>
          </w:tcPr>
          <w:p>
            <w:pPr>
              <w:spacing w:before="40" w:after="40"/>
              <w:jc w:val="center"/>
            </w:pPr>
            <w:r>
              <w:rPr>
                <w:rFonts w:ascii="Calibri" w:hAnsi="Calibri"/>
                <w:b w:val="0"/>
                <w:sz w:val="16"/>
              </w:rPr>
              <w:t>26,25</w:t>
            </w:r>
          </w:p>
        </w:tc>
        <w:tc>
          <w:tcPr>
            <w:tcW w:type="dxa" w:w="624"/>
            <w:shd w:val="clear" w:color="auto" w:fill="FFFFFF"/>
          </w:tcPr>
          <w:p>
            <w:pPr>
              <w:spacing w:before="40" w:after="40"/>
              <w:jc w:val="center"/>
            </w:pPr>
            <w:r>
              <w:rPr>
                <w:rFonts w:ascii="Calibri" w:hAnsi="Calibri"/>
                <w:b w:val="0"/>
                <w:sz w:val="16"/>
              </w:rPr>
              <w:t>15,00</w:t>
            </w:r>
          </w:p>
        </w:tc>
        <w:tc>
          <w:tcPr>
            <w:tcW w:type="dxa" w:w="624"/>
            <w:shd w:val="clear" w:color="auto" w:fill="FFFFFF"/>
          </w:tcPr>
          <w:p>
            <w:pPr>
              <w:spacing w:before="40" w:after="40"/>
              <w:jc w:val="center"/>
            </w:pPr>
            <w:r>
              <w:rPr>
                <w:rFonts w:ascii="Calibri" w:hAnsi="Calibri"/>
                <w:b w:val="0"/>
                <w:sz w:val="16"/>
              </w:rPr>
              <w:t>17,50</w:t>
            </w:r>
          </w:p>
        </w:tc>
        <w:tc>
          <w:tcPr>
            <w:tcW w:type="dxa" w:w="624"/>
            <w:shd w:val="clear" w:color="auto" w:fill="FFFFFF"/>
          </w:tcPr>
          <w:p>
            <w:pPr>
              <w:spacing w:before="40" w:after="40"/>
              <w:jc w:val="center"/>
            </w:pPr>
            <w:r>
              <w:rPr>
                <w:rFonts w:ascii="Calibri" w:hAnsi="Calibri"/>
                <w:b/>
                <w:sz w:val="16"/>
              </w:rPr>
              <w:t>58,75</w:t>
            </w:r>
          </w:p>
        </w:tc>
        <w:tc>
          <w:tcPr>
            <w:tcW w:type="dxa" w:w="850"/>
            <w:shd w:val="clear" w:color="auto" w:fill="FFF0D9"/>
          </w:tcPr>
          <w:p>
            <w:pPr>
              <w:spacing w:before="40" w:after="40"/>
              <w:jc w:val="center"/>
            </w:pPr>
            <w:r>
              <w:rPr>
                <w:rFonts w:ascii="Calibri" w:hAnsi="Calibri"/>
                <w:b/>
                <w:color w:val="A04800"/>
                <w:sz w:val="16"/>
              </w:rPr>
              <w:t>ALTO</w:t>
            </w:r>
          </w:p>
        </w:tc>
      </w:tr>
      <w:tr>
        <w:tc>
          <w:tcPr>
            <w:tcW w:type="dxa" w:w="454"/>
            <w:shd w:val="clear" w:color="auto" w:fill="E8F5DD"/>
          </w:tcPr>
          <w:p>
            <w:pPr>
              <w:spacing w:before="40" w:after="40"/>
              <w:jc w:val="center"/>
            </w:pPr>
            <w:r>
              <w:rPr>
                <w:rFonts w:ascii="Calibri" w:hAnsi="Calibri"/>
                <w:b/>
                <w:color w:val="3D7020"/>
                <w:sz w:val="16"/>
              </w:rPr>
              <w:t>D</w:t>
            </w:r>
          </w:p>
        </w:tc>
        <w:tc>
          <w:tcPr>
            <w:tcW w:type="dxa" w:w="1474"/>
            <w:shd w:val="clear" w:color="auto" w:fill="FFFFFF"/>
          </w:tcPr>
          <w:p>
            <w:pPr>
              <w:spacing w:before="40" w:after="40"/>
              <w:jc w:val="center"/>
            </w:pPr>
            <w:r>
              <w:rPr>
                <w:rFonts w:ascii="Calibri" w:hAnsi="Calibri"/>
                <w:b w:val="0"/>
                <w:sz w:val="16"/>
              </w:rPr>
              <w:t>V1=0, V2=0, V3=0, V4=1</w:t>
            </w:r>
          </w:p>
        </w:tc>
        <w:tc>
          <w:tcPr>
            <w:tcW w:type="dxa" w:w="1474"/>
            <w:shd w:val="clear" w:color="auto" w:fill="FFFFFF"/>
          </w:tcPr>
          <w:p>
            <w:pPr>
              <w:spacing w:before="40" w:after="40"/>
              <w:jc w:val="center"/>
            </w:pPr>
            <w:r>
              <w:rPr>
                <w:rFonts w:ascii="Calibri" w:hAnsi="Calibri"/>
                <w:b w:val="0"/>
                <w:sz w:val="16"/>
              </w:rPr>
              <w:t>C1=0, C2=0, C3=0</w:t>
            </w:r>
          </w:p>
        </w:tc>
        <w:tc>
          <w:tcPr>
            <w:tcW w:type="dxa" w:w="1474"/>
            <w:shd w:val="clear" w:color="auto" w:fill="FFFFFF"/>
          </w:tcPr>
          <w:p>
            <w:pPr>
              <w:spacing w:before="40" w:after="40"/>
              <w:jc w:val="center"/>
            </w:pPr>
            <w:r>
              <w:rPr>
                <w:rFonts w:ascii="Calibri" w:hAnsi="Calibri"/>
                <w:b w:val="0"/>
                <w:sz w:val="16"/>
              </w:rPr>
              <w:t>J1=1, J2=0, J3=0</w:t>
            </w:r>
          </w:p>
        </w:tc>
        <w:tc>
          <w:tcPr>
            <w:tcW w:type="dxa" w:w="624"/>
            <w:shd w:val="clear" w:color="auto" w:fill="FFFFFF"/>
          </w:tcPr>
          <w:p>
            <w:pPr>
              <w:spacing w:before="40" w:after="40"/>
              <w:jc w:val="center"/>
            </w:pPr>
            <w:r>
              <w:rPr>
                <w:rFonts w:ascii="Calibri" w:hAnsi="Calibri"/>
                <w:b w:val="0"/>
                <w:sz w:val="16"/>
              </w:rPr>
              <w:t>4,38</w:t>
            </w:r>
          </w:p>
        </w:tc>
        <w:tc>
          <w:tcPr>
            <w:tcW w:type="dxa" w:w="624"/>
            <w:shd w:val="clear" w:color="auto" w:fill="FFFFFF"/>
          </w:tcPr>
          <w:p>
            <w:pPr>
              <w:spacing w:before="40" w:after="40"/>
              <w:jc w:val="center"/>
            </w:pPr>
            <w:r>
              <w:rPr>
                <w:rFonts w:ascii="Calibri" w:hAnsi="Calibri"/>
                <w:b w:val="0"/>
                <w:sz w:val="16"/>
              </w:rPr>
              <w:t>0,00</w:t>
            </w:r>
          </w:p>
        </w:tc>
        <w:tc>
          <w:tcPr>
            <w:tcW w:type="dxa" w:w="624"/>
            <w:shd w:val="clear" w:color="auto" w:fill="FFFFFF"/>
          </w:tcPr>
          <w:p>
            <w:pPr>
              <w:spacing w:before="40" w:after="40"/>
              <w:jc w:val="center"/>
            </w:pPr>
            <w:r>
              <w:rPr>
                <w:rFonts w:ascii="Calibri" w:hAnsi="Calibri"/>
                <w:b w:val="0"/>
                <w:sz w:val="16"/>
              </w:rPr>
              <w:t>5,83</w:t>
            </w:r>
          </w:p>
        </w:tc>
        <w:tc>
          <w:tcPr>
            <w:tcW w:type="dxa" w:w="624"/>
            <w:shd w:val="clear" w:color="auto" w:fill="FFFFFF"/>
          </w:tcPr>
          <w:p>
            <w:pPr>
              <w:spacing w:before="40" w:after="40"/>
              <w:jc w:val="center"/>
            </w:pPr>
            <w:r>
              <w:rPr>
                <w:rFonts w:ascii="Calibri" w:hAnsi="Calibri"/>
                <w:b/>
                <w:sz w:val="16"/>
              </w:rPr>
              <w:t>10,21</w:t>
            </w:r>
          </w:p>
        </w:tc>
        <w:tc>
          <w:tcPr>
            <w:tcW w:type="dxa" w:w="850"/>
            <w:shd w:val="clear" w:color="auto" w:fill="E8F5DD"/>
          </w:tcPr>
          <w:p>
            <w:pPr>
              <w:spacing w:before="40" w:after="40"/>
              <w:jc w:val="center"/>
            </w:pPr>
            <w:r>
              <w:rPr>
                <w:rFonts w:ascii="Calibri" w:hAnsi="Calibri"/>
                <w:b/>
                <w:color w:val="3D7020"/>
                <w:sz w:val="16"/>
              </w:rPr>
              <w:t>BAJO</w:t>
            </w:r>
          </w:p>
        </w:tc>
      </w:tr>
      <w:tr>
        <w:tc>
          <w:tcPr>
            <w:tcW w:type="dxa" w:w="454"/>
            <w:shd w:val="clear" w:color="auto" w:fill="FFE5E5"/>
          </w:tcPr>
          <w:p>
            <w:pPr>
              <w:spacing w:before="40" w:after="40"/>
              <w:jc w:val="center"/>
            </w:pPr>
            <w:r>
              <w:rPr>
                <w:rFonts w:ascii="Calibri" w:hAnsi="Calibri"/>
                <w:b/>
                <w:color w:val="CC0000"/>
                <w:sz w:val="16"/>
              </w:rPr>
              <w:t>E</w:t>
            </w:r>
          </w:p>
        </w:tc>
        <w:tc>
          <w:tcPr>
            <w:tcW w:type="dxa" w:w="1474"/>
            <w:shd w:val="clear" w:color="auto" w:fill="FFFFFF"/>
          </w:tcPr>
          <w:p>
            <w:pPr>
              <w:spacing w:before="40" w:after="40"/>
              <w:jc w:val="center"/>
            </w:pPr>
            <w:r>
              <w:rPr>
                <w:rFonts w:ascii="Calibri" w:hAnsi="Calibri"/>
                <w:b w:val="0"/>
                <w:sz w:val="16"/>
              </w:rPr>
              <w:t>V1=1, V2=2, V3=2, V4=2</w:t>
            </w:r>
          </w:p>
        </w:tc>
        <w:tc>
          <w:tcPr>
            <w:tcW w:type="dxa" w:w="1474"/>
            <w:shd w:val="clear" w:color="auto" w:fill="FFFFFF"/>
          </w:tcPr>
          <w:p>
            <w:pPr>
              <w:spacing w:before="40" w:after="40"/>
              <w:jc w:val="center"/>
            </w:pPr>
            <w:r>
              <w:rPr>
                <w:rFonts w:ascii="Calibri" w:hAnsi="Calibri"/>
                <w:b w:val="0"/>
                <w:sz w:val="16"/>
              </w:rPr>
              <w:t>C1=1, C2=2, C3=2</w:t>
            </w:r>
          </w:p>
        </w:tc>
        <w:tc>
          <w:tcPr>
            <w:tcW w:type="dxa" w:w="1474"/>
            <w:shd w:val="clear" w:color="auto" w:fill="FFFFFF"/>
          </w:tcPr>
          <w:p>
            <w:pPr>
              <w:spacing w:before="40" w:after="40"/>
              <w:jc w:val="center"/>
            </w:pPr>
            <w:r>
              <w:rPr>
                <w:rFonts w:ascii="Calibri" w:hAnsi="Calibri"/>
                <w:b w:val="0"/>
                <w:sz w:val="16"/>
              </w:rPr>
              <w:t>J1=2, J2=2, J3=1</w:t>
            </w:r>
          </w:p>
        </w:tc>
        <w:tc>
          <w:tcPr>
            <w:tcW w:type="dxa" w:w="624"/>
            <w:shd w:val="clear" w:color="auto" w:fill="FFFFFF"/>
          </w:tcPr>
          <w:p>
            <w:pPr>
              <w:spacing w:before="40" w:after="40"/>
              <w:jc w:val="center"/>
            </w:pPr>
            <w:r>
              <w:rPr>
                <w:rFonts w:ascii="Calibri" w:hAnsi="Calibri"/>
                <w:b w:val="0"/>
                <w:sz w:val="16"/>
              </w:rPr>
              <w:t>30,63</w:t>
            </w:r>
          </w:p>
        </w:tc>
        <w:tc>
          <w:tcPr>
            <w:tcW w:type="dxa" w:w="624"/>
            <w:shd w:val="clear" w:color="auto" w:fill="FFFFFF"/>
          </w:tcPr>
          <w:p>
            <w:pPr>
              <w:spacing w:before="40" w:after="40"/>
              <w:jc w:val="center"/>
            </w:pPr>
            <w:r>
              <w:rPr>
                <w:rFonts w:ascii="Calibri" w:hAnsi="Calibri"/>
                <w:b w:val="0"/>
                <w:sz w:val="16"/>
              </w:rPr>
              <w:t>25,00</w:t>
            </w:r>
          </w:p>
        </w:tc>
        <w:tc>
          <w:tcPr>
            <w:tcW w:type="dxa" w:w="624"/>
            <w:shd w:val="clear" w:color="auto" w:fill="FFFFFF"/>
          </w:tcPr>
          <w:p>
            <w:pPr>
              <w:spacing w:before="40" w:after="40"/>
              <w:jc w:val="center"/>
            </w:pPr>
            <w:r>
              <w:rPr>
                <w:rFonts w:ascii="Calibri" w:hAnsi="Calibri"/>
                <w:b w:val="0"/>
                <w:sz w:val="16"/>
              </w:rPr>
              <w:t>29,17</w:t>
            </w:r>
          </w:p>
        </w:tc>
        <w:tc>
          <w:tcPr>
            <w:tcW w:type="dxa" w:w="624"/>
            <w:shd w:val="clear" w:color="auto" w:fill="FFFFFF"/>
          </w:tcPr>
          <w:p>
            <w:pPr>
              <w:spacing w:before="40" w:after="40"/>
              <w:jc w:val="center"/>
            </w:pPr>
            <w:r>
              <w:rPr>
                <w:rFonts w:ascii="Calibri" w:hAnsi="Calibri"/>
                <w:b/>
                <w:sz w:val="16"/>
              </w:rPr>
              <w:t>84,79</w:t>
            </w:r>
          </w:p>
        </w:tc>
        <w:tc>
          <w:tcPr>
            <w:tcW w:type="dxa" w:w="850"/>
            <w:shd w:val="clear" w:color="auto" w:fill="FFE5E5"/>
          </w:tcPr>
          <w:p>
            <w:pPr>
              <w:spacing w:before="40" w:after="40"/>
              <w:jc w:val="center"/>
            </w:pPr>
            <w:r>
              <w:rPr>
                <w:rFonts w:ascii="Calibri" w:hAnsi="Calibri"/>
                <w:b/>
                <w:color w:val="CC0000"/>
                <w:sz w:val="16"/>
              </w:rPr>
              <w:t>CRÍTICO</w:t>
            </w:r>
          </w:p>
        </w:tc>
      </w:tr>
    </w:tbl>
    <w:p/>
    <w:p>
      <w:pPr>
        <w:spacing w:before="40" w:after="160"/>
        <w:jc w:val="left"/>
      </w:pPr>
      <w:r>
        <w:rPr>
          <w:rFonts w:ascii="Calibri" w:hAnsi="Calibri"/>
          <w:b w:val="0"/>
          <w:i/>
          <w:color w:val="4A5E72"/>
          <w:sz w:val="17"/>
        </w:rPr>
        <w:t>Fórmulas aplicadas: D1 = suma(V1–V4) × 4,375 | D2 = suma(C1–C3) × 5,000 | D3 = suma(J1–J3) × 5,833 | Puntuación global = D1 + D2 + D3 (escala 0–100)</w:t>
      </w:r>
    </w:p>
    <w:p>
      <w:pPr>
        <w:spacing w:before="280" w:after="120"/>
        <w:pBdr>
          <w:bottom w:val="single" w:sz="6" w:color="1F3864"/>
        </w:pBdr>
      </w:pPr>
      <w:r>
        <w:rPr>
          <w:rFonts w:ascii="Calibri" w:hAnsi="Calibri"/>
          <w:b/>
          <w:color w:val="1F3864"/>
          <w:sz w:val="26"/>
        </w:rPr>
        <w:t>5. Instrucciones de uso</w:t>
      </w:r>
    </w:p>
    <w:p>
      <w:pPr>
        <w:spacing w:before="80" w:after="40"/>
      </w:pPr>
      <w:r>
        <w:rPr>
          <w:rFonts w:ascii="Calibri" w:hAnsi="Calibri"/>
          <w:b/>
          <w:color w:val="2E74B5"/>
          <w:sz w:val="20"/>
        </w:rPr>
        <w:t>Paso 1 — Datos del caso</w:t>
      </w:r>
    </w:p>
    <w:p>
      <w:pPr>
        <w:spacing w:before="0" w:after="80"/>
        <w:ind w:left="283"/>
      </w:pPr>
      <w:r>
        <w:rPr>
          <w:rFonts w:ascii="Calibri" w:hAnsi="Calibri"/>
          <w:color w:val="1C2535"/>
          <w:sz w:val="20"/>
        </w:rPr>
        <w:t>Introducir el número de diligencias, la unidad policial actuante, la fecha de la incautación, el tipo de activo digital intervenido y el órgano judicial competente. Estos datos se integrarán automáticamente en el encabezado del informe final.</w:t>
      </w:r>
    </w:p>
    <w:p>
      <w:pPr>
        <w:spacing w:before="80" w:after="40"/>
      </w:pPr>
      <w:r>
        <w:rPr>
          <w:rFonts w:ascii="Calibri" w:hAnsi="Calibri"/>
          <w:b/>
          <w:color w:val="2E74B5"/>
          <w:sz w:val="20"/>
        </w:rPr>
        <w:t>Paso 2 — Dimensión I: Volatilidad</w:t>
      </w:r>
    </w:p>
    <w:p>
      <w:pPr>
        <w:spacing w:before="0" w:after="80"/>
        <w:ind w:left="283"/>
      </w:pPr>
      <w:r>
        <w:rPr>
          <w:rFonts w:ascii="Calibri" w:hAnsi="Calibri"/>
          <w:color w:val="1C2535"/>
          <w:sz w:val="20"/>
        </w:rPr>
        <w:t>Seleccionar una opción (Bajo / Moderado / Alto) para cada uno de los cuatro indicadores V.1 a V.4. Es obligatorio responder a todos los indicadores antes de continuar. Un contador indica el progreso de la dimensión.</w:t>
      </w:r>
    </w:p>
    <w:p>
      <w:pPr>
        <w:spacing w:before="80" w:after="40"/>
      </w:pPr>
      <w:r>
        <w:rPr>
          <w:rFonts w:ascii="Calibri" w:hAnsi="Calibri"/>
          <w:b/>
          <w:color w:val="2E74B5"/>
          <w:sz w:val="20"/>
        </w:rPr>
        <w:t>Paso 3 — Dimensión II: Custodia y Trazabilidad</w:t>
      </w:r>
    </w:p>
    <w:p>
      <w:pPr>
        <w:spacing w:before="0" w:after="80"/>
        <w:ind w:left="283"/>
      </w:pPr>
      <w:r>
        <w:rPr>
          <w:rFonts w:ascii="Calibri" w:hAnsi="Calibri"/>
          <w:color w:val="1C2535"/>
          <w:sz w:val="20"/>
        </w:rPr>
        <w:t>Seleccionar una opción para cada uno de los tres indicadores C.1 a C.3, relativos al modelo de custodia de la clave privada y a la calidad de la trazabilidad del activo en blockchain.</w:t>
      </w:r>
    </w:p>
    <w:p>
      <w:pPr>
        <w:spacing w:before="80" w:after="40"/>
      </w:pPr>
      <w:r>
        <w:rPr>
          <w:rFonts w:ascii="Calibri" w:hAnsi="Calibri"/>
          <w:b/>
          <w:color w:val="2E74B5"/>
          <w:sz w:val="20"/>
        </w:rPr>
        <w:t>Paso 4 — Dimensión III: Contexto Operativo Policial</w:t>
      </w:r>
    </w:p>
    <w:p>
      <w:pPr>
        <w:spacing w:before="0" w:after="80"/>
        <w:ind w:left="283"/>
      </w:pPr>
      <w:r>
        <w:rPr>
          <w:rFonts w:ascii="Calibri" w:hAnsi="Calibri"/>
          <w:color w:val="1C2535"/>
          <w:sz w:val="20"/>
        </w:rPr>
        <w:t>Seleccionar una opción para cada uno de los tres indicadores J.1 a J.3, relativos a la capacidad operativa de la unidad, la urgencia de la decisión de enajenación y la cadena de responsabilidad.</w:t>
      </w:r>
    </w:p>
    <w:p>
      <w:pPr>
        <w:spacing w:before="80" w:after="40"/>
      </w:pPr>
      <w:r>
        <w:rPr>
          <w:rFonts w:ascii="Calibri" w:hAnsi="Calibri"/>
          <w:b/>
          <w:color w:val="2E74B5"/>
          <w:sz w:val="20"/>
        </w:rPr>
        <w:t>Paso 5 — Resultados</w:t>
      </w:r>
    </w:p>
    <w:p>
      <w:pPr>
        <w:spacing w:before="0" w:after="80"/>
        <w:ind w:left="283"/>
      </w:pPr>
      <w:r>
        <w:rPr>
          <w:rFonts w:ascii="Calibri" w:hAnsi="Calibri"/>
          <w:color w:val="1C2535"/>
          <w:sz w:val="20"/>
        </w:rPr>
        <w:t>La herramienta calcula automáticamente la puntuación ponderada de cada dimensión y la puntuación global. Se muestra el nivel de riesgo (BAJO / MODERADO / ALTO / CRÍTICO), el desglose gráfico por dimensión, los factores de mayor riesgo y el protocolo policial de actuación recomendado.</w:t>
      </w:r>
    </w:p>
    <w:p>
      <w:pPr>
        <w:spacing w:before="80" w:after="40"/>
      </w:pPr>
      <w:r>
        <w:rPr>
          <w:rFonts w:ascii="Calibri" w:hAnsi="Calibri"/>
          <w:b/>
          <w:color w:val="2E74B5"/>
          <w:sz w:val="20"/>
        </w:rPr>
        <w:t>Paso 6 — Informe final</w:t>
      </w:r>
    </w:p>
    <w:p>
      <w:pPr>
        <w:spacing w:before="0" w:after="80"/>
        <w:ind w:left="283"/>
      </w:pPr>
      <w:r>
        <w:rPr>
          <w:rFonts w:ascii="Calibri" w:hAnsi="Calibri"/>
          <w:color w:val="1C2535"/>
          <w:sz w:val="20"/>
        </w:rPr>
        <w:t>Se genera un informe estructurado con todos los datos del caso, las puntuaciones obtenidas, la valoración indicador por indicador y el protocolo de actuación. El informe puede imprimirse en formato PDF (Imprimir / Guardar PDF) o copiarse al portapapeles para su integración en el atestado.</w:t>
      </w:r>
    </w:p>
    <w:p/>
    <w:p>
      <w:pPr>
        <w:spacing w:before="280" w:after="120"/>
        <w:pBdr>
          <w:bottom w:val="single" w:sz="6" w:color="1F3864"/>
        </w:pBdr>
      </w:pPr>
      <w:r>
        <w:rPr>
          <w:rFonts w:ascii="Calibri" w:hAnsi="Calibri"/>
          <w:b/>
          <w:color w:val="1F3864"/>
          <w:sz w:val="26"/>
        </w:rPr>
        <w:t>6. Capturas de pantalla de la aplicación</w:t>
      </w:r>
    </w:p>
    <w:p>
      <w:pPr>
        <w:spacing w:before="0" w:after="160"/>
        <w:jc w:val="left"/>
      </w:pPr>
      <w:r>
        <w:rPr>
          <w:rFonts w:ascii="Calibri" w:hAnsi="Calibri"/>
          <w:b w:val="0"/>
          <w:i w:val="0"/>
          <w:color w:val="1C2535"/>
          <w:sz w:val="20"/>
        </w:rPr>
        <w:t>Las siguientes imágenes muestran las pantallas principales de la MGRPIC v3.0. La herramienta se ejecuta íntegramente en el navegador, sin instalación ni conexión a internet.</w:t>
      </w:r>
    </w:p>
    <w:p>
      <w:pPr>
        <w:spacing w:before="160" w:after="40"/>
        <w:jc w:val="center"/>
      </w:pPr>
      <w:r>
        <w:drawing>
          <wp:inline xmlns:a="http://schemas.openxmlformats.org/drawingml/2006/main" xmlns:pic="http://schemas.openxmlformats.org/drawingml/2006/picture">
            <wp:extent cx="5040000" cy="2940000"/>
            <wp:docPr id="1" name="Picture 1"/>
            <wp:cNvGraphicFramePr>
              <a:graphicFrameLocks noChangeAspect="1"/>
            </wp:cNvGraphicFramePr>
            <a:graphic>
              <a:graphicData uri="http://schemas.openxmlformats.org/drawingml/2006/picture">
                <pic:pic>
                  <pic:nvPicPr>
                    <pic:cNvPr id="0" name="cap0_inicio.png"/>
                    <pic:cNvPicPr/>
                  </pic:nvPicPr>
                  <pic:blipFill>
                    <a:blip r:embed="rId9"/>
                    <a:stretch>
                      <a:fillRect/>
                    </a:stretch>
                  </pic:blipFill>
                  <pic:spPr>
                    <a:xfrm>
                      <a:off x="0" y="0"/>
                      <a:ext cx="5040000" cy="2940000"/>
                    </a:xfrm>
                    <a:prstGeom prst="rect"/>
                  </pic:spPr>
                </pic:pic>
              </a:graphicData>
            </a:graphic>
          </wp:inline>
        </w:drawing>
      </w:r>
    </w:p>
    <w:p>
      <w:pPr>
        <w:spacing w:before="40" w:after="240"/>
        <w:jc w:val="center"/>
      </w:pPr>
      <w:r>
        <w:rPr>
          <w:rFonts w:ascii="Calibri" w:hAnsi="Calibri"/>
          <w:i/>
          <w:color w:val="4A5E72"/>
          <w:sz w:val="18"/>
        </w:rPr>
        <w:t>Figura 1. Pantalla de inicio de la MGRPIC. Muestra el acceso a nueva evaluación y las tarjetas informativas sobre el funcionamiento, los niveles de riesgo y el informe generado.</w:t>
      </w:r>
    </w:p>
    <w:p>
      <w:pPr>
        <w:spacing w:before="160" w:after="40"/>
        <w:jc w:val="center"/>
      </w:pPr>
      <w:r>
        <w:drawing>
          <wp:inline xmlns:a="http://schemas.openxmlformats.org/drawingml/2006/main" xmlns:pic="http://schemas.openxmlformats.org/drawingml/2006/picture">
            <wp:extent cx="5040000" cy="3864000"/>
            <wp:docPr id="2" name="Picture 2"/>
            <wp:cNvGraphicFramePr>
              <a:graphicFrameLocks noChangeAspect="1"/>
            </wp:cNvGraphicFramePr>
            <a:graphic>
              <a:graphicData uri="http://schemas.openxmlformats.org/drawingml/2006/picture">
                <pic:pic>
                  <pic:nvPicPr>
                    <pic:cNvPr id="0" name="cap1_dim1.png"/>
                    <pic:cNvPicPr/>
                  </pic:nvPicPr>
                  <pic:blipFill>
                    <a:blip r:embed="rId10"/>
                    <a:stretch>
                      <a:fillRect/>
                    </a:stretch>
                  </pic:blipFill>
                  <pic:spPr>
                    <a:xfrm>
                      <a:off x="0" y="0"/>
                      <a:ext cx="5040000" cy="3864000"/>
                    </a:xfrm>
                    <a:prstGeom prst="rect"/>
                  </pic:spPr>
                </pic:pic>
              </a:graphicData>
            </a:graphic>
          </wp:inline>
        </w:drawing>
      </w:r>
    </w:p>
    <w:p>
      <w:pPr>
        <w:spacing w:before="40" w:after="240"/>
        <w:jc w:val="center"/>
      </w:pPr>
      <w:r>
        <w:rPr>
          <w:rFonts w:ascii="Calibri" w:hAnsi="Calibri"/>
          <w:i/>
          <w:color w:val="4A5E72"/>
          <w:sz w:val="18"/>
        </w:rPr>
        <w:t>Figura 2. Evaluación de la Dimensión I — Volatilidad. Los cuatro indicadores (V.1 a V.4) deben responderse antes de continuar. El contador de progreso indica los indicadores completados.</w:t>
      </w:r>
    </w:p>
    <w:p>
      <w:pPr>
        <w:spacing w:before="160" w:after="40"/>
        <w:jc w:val="center"/>
      </w:pPr>
      <w:r>
        <w:drawing>
          <wp:inline xmlns:a="http://schemas.openxmlformats.org/drawingml/2006/main" xmlns:pic="http://schemas.openxmlformats.org/drawingml/2006/picture">
            <wp:extent cx="5040000" cy="3612000"/>
            <wp:docPr id="3" name="Picture 3"/>
            <wp:cNvGraphicFramePr>
              <a:graphicFrameLocks noChangeAspect="1"/>
            </wp:cNvGraphicFramePr>
            <a:graphic>
              <a:graphicData uri="http://schemas.openxmlformats.org/drawingml/2006/picture">
                <pic:pic>
                  <pic:nvPicPr>
                    <pic:cNvPr id="0" name="cap5_resultados.png"/>
                    <pic:cNvPicPr/>
                  </pic:nvPicPr>
                  <pic:blipFill>
                    <a:blip r:embed="rId11"/>
                    <a:stretch>
                      <a:fillRect/>
                    </a:stretch>
                  </pic:blipFill>
                  <pic:spPr>
                    <a:xfrm>
                      <a:off x="0" y="0"/>
                      <a:ext cx="5040000" cy="3612000"/>
                    </a:xfrm>
                    <a:prstGeom prst="rect"/>
                  </pic:spPr>
                </pic:pic>
              </a:graphicData>
            </a:graphic>
          </wp:inline>
        </w:drawing>
      </w:r>
    </w:p>
    <w:p>
      <w:pPr>
        <w:spacing w:before="40" w:after="240"/>
        <w:jc w:val="center"/>
      </w:pPr>
      <w:r>
        <w:rPr>
          <w:rFonts w:ascii="Calibri" w:hAnsi="Calibri"/>
          <w:i/>
          <w:color w:val="4A5E72"/>
          <w:sz w:val="18"/>
        </w:rPr>
        <w:t>Figura 3. Pantalla de resultados (Caso C de referencia: 58,75 puntos — nivel ALTO). Muestra la puntuación global, el desglose por dimensión y el protocolo policial de actuación.</w:t>
      </w:r>
    </w:p>
    <w:p>
      <w:pPr>
        <w:spacing w:before="160" w:after="40"/>
        <w:jc w:val="center"/>
      </w:pPr>
      <w:r>
        <w:drawing>
          <wp:inline xmlns:a="http://schemas.openxmlformats.org/drawingml/2006/main" xmlns:pic="http://schemas.openxmlformats.org/drawingml/2006/picture">
            <wp:extent cx="5040000" cy="4116000"/>
            <wp:docPr id="4" name="Picture 4"/>
            <wp:cNvGraphicFramePr>
              <a:graphicFrameLocks noChangeAspect="1"/>
            </wp:cNvGraphicFramePr>
            <a:graphic>
              <a:graphicData uri="http://schemas.openxmlformats.org/drawingml/2006/picture">
                <pic:pic>
                  <pic:nvPicPr>
                    <pic:cNvPr id="0" name="cap6_informe.png"/>
                    <pic:cNvPicPr/>
                  </pic:nvPicPr>
                  <pic:blipFill>
                    <a:blip r:embed="rId12"/>
                    <a:stretch>
                      <a:fillRect/>
                    </a:stretch>
                  </pic:blipFill>
                  <pic:spPr>
                    <a:xfrm>
                      <a:off x="0" y="0"/>
                      <a:ext cx="5040000" cy="4116000"/>
                    </a:xfrm>
                    <a:prstGeom prst="rect"/>
                  </pic:spPr>
                </pic:pic>
              </a:graphicData>
            </a:graphic>
          </wp:inline>
        </w:drawing>
      </w:r>
    </w:p>
    <w:p>
      <w:pPr>
        <w:spacing w:before="40" w:after="240"/>
        <w:jc w:val="center"/>
      </w:pPr>
      <w:r>
        <w:rPr>
          <w:rFonts w:ascii="Calibri" w:hAnsi="Calibri"/>
          <w:i/>
          <w:color w:val="4A5E72"/>
          <w:sz w:val="18"/>
        </w:rPr>
        <w:t>Figura 4. Informe estructurado generado automáticamente. Incluye los datos del caso, la puntuación y el nivel de riesgo, el desglose por dimensión e indicador, y el protocolo de actuación.</w:t>
      </w:r>
    </w:p>
    <w:p/>
    <w:p>
      <w:pPr>
        <w:spacing w:before="280" w:after="120"/>
        <w:pBdr>
          <w:bottom w:val="single" w:sz="6" w:color="1F3864"/>
        </w:pBdr>
      </w:pPr>
      <w:r>
        <w:rPr>
          <w:rFonts w:ascii="Calibri" w:hAnsi="Calibri"/>
          <w:b/>
          <w:color w:val="1F3864"/>
          <w:sz w:val="26"/>
        </w:rPr>
        <w:t>7. Muestra del informe generado — Caso C (58,75 — ALTO)</w:t>
      </w:r>
    </w:p>
    <w:p>
      <w:pPr>
        <w:spacing w:before="0" w:after="160"/>
        <w:jc w:val="left"/>
      </w:pPr>
      <w:r>
        <w:rPr>
          <w:rFonts w:ascii="Calibri" w:hAnsi="Calibri"/>
          <w:b w:val="0"/>
          <w:i w:val="0"/>
          <w:color w:val="1C2535"/>
          <w:sz w:val="20"/>
        </w:rPr>
        <w:t>A continuación se reproduce el texto íntegro del informe que la MGRPIC genera automáticamente al concluir la evaluación del Caso C de referencia (BTC + ETH, DP 47/2025, UDEF-BLA). El informe se estructura en seis apartados y está diseñado para adjuntarse al atestado o trasladarse al Ministerio Fiscal.</w:t>
      </w:r>
    </w:p>
    <w:tbl>
      <w:tblPr>
        <w:tblW w:type="auto" w:w="0"/>
        <w:jc w:val="center"/>
        <w:tblLook w:firstColumn="1" w:firstRow="1" w:lastColumn="0" w:lastRow="0" w:noHBand="0" w:noVBand="1" w:val="04A0"/>
      </w:tblPr>
      <w:tblGrid>
        <w:gridCol w:w="9071"/>
      </w:tblGrid>
      <w:tr>
        <w:tc>
          <w:tcPr>
            <w:tcW w:type="dxa" w:w="9071"/>
            <w:shd w:val="clear" w:color="auto" w:fill="1F3864"/>
          </w:tcPr>
          <w:p>
            <w:pPr>
              <w:spacing w:before="160" w:after="40"/>
              <w:jc w:val="center"/>
            </w:pPr>
            <w:r>
              <w:rPr>
                <w:rFonts w:ascii="Calibri" w:hAnsi="Calibri"/>
                <w:b/>
                <w:color w:val="FFFFFF"/>
                <w:sz w:val="22"/>
              </w:rPr>
              <w:t>MGRPIC — INFORME DE EVALUACIÓN DE RIESGO PROCESAL</w:t>
            </w:r>
          </w:p>
          <w:p>
            <w:pPr>
              <w:spacing w:before="0" w:after="160"/>
              <w:jc w:val="center"/>
            </w:pPr>
            <w:r>
              <w:rPr>
                <w:rFonts w:ascii="Calibri" w:hAnsi="Calibri"/>
                <w:color w:val="BFD3E8"/>
                <w:sz w:val="18"/>
              </w:rPr>
              <w:t>Matriz de Gestión de Riesgo Procesal en la Incautación de Criptoactivos · v3.0</w:t>
            </w:r>
          </w:p>
        </w:tc>
      </w:tr>
    </w:tbl>
    <w:p/>
    <w:p>
      <w:pPr>
        <w:spacing w:before="120" w:after="40"/>
      </w:pPr>
      <w:r>
        <w:rPr>
          <w:rFonts w:ascii="Calibri" w:hAnsi="Calibri"/>
          <w:b/>
          <w:color w:val="1F3864"/>
          <w:sz w:val="20"/>
        </w:rPr>
        <w:t>1. Datos del caso</w:t>
      </w:r>
    </w:p>
    <w:p>
      <w:pPr>
        <w:spacing w:before="20" w:after="20"/>
        <w:ind w:left="283"/>
      </w:pPr>
      <w:r>
        <w:rPr>
          <w:rFonts w:ascii="Calibri" w:hAnsi="Calibri"/>
          <w:b/>
          <w:color w:val="1C2535"/>
          <w:sz w:val="19"/>
        </w:rPr>
        <w:t xml:space="preserve">Número de diligencias: </w:t>
      </w:r>
      <w:r>
        <w:rPr>
          <w:rFonts w:ascii="Calibri" w:hAnsi="Calibri"/>
          <w:color w:val="1C2535"/>
          <w:sz w:val="19"/>
        </w:rPr>
        <w:t>DP 47/2025 — Juzgado Central de Instrucción n.º 3 (AN)</w:t>
      </w:r>
    </w:p>
    <w:p>
      <w:pPr>
        <w:spacing w:before="20" w:after="20"/>
        <w:ind w:left="283"/>
      </w:pPr>
      <w:r>
        <w:rPr>
          <w:rFonts w:ascii="Calibri" w:hAnsi="Calibri"/>
          <w:b/>
          <w:color w:val="1C2535"/>
          <w:sz w:val="19"/>
        </w:rPr>
        <w:t xml:space="preserve">Unidad policial actuante: </w:t>
      </w:r>
      <w:r>
        <w:rPr>
          <w:rFonts w:ascii="Calibri" w:hAnsi="Calibri"/>
          <w:color w:val="1C2535"/>
          <w:sz w:val="19"/>
        </w:rPr>
        <w:t>UDEF-BLA — Unidad de Delincuencia Económica y Fiscal</w:t>
      </w:r>
    </w:p>
    <w:p>
      <w:pPr>
        <w:spacing w:before="20" w:after="20"/>
        <w:ind w:left="283"/>
      </w:pPr>
      <w:r>
        <w:rPr>
          <w:rFonts w:ascii="Calibri" w:hAnsi="Calibri"/>
          <w:b/>
          <w:color w:val="1C2535"/>
          <w:sz w:val="19"/>
        </w:rPr>
        <w:t xml:space="preserve">Fecha de incautación: </w:t>
      </w:r>
      <w:r>
        <w:rPr>
          <w:rFonts w:ascii="Calibri" w:hAnsi="Calibri"/>
          <w:color w:val="1C2535"/>
          <w:sz w:val="19"/>
        </w:rPr>
        <w:t>2025-03-10</w:t>
      </w:r>
    </w:p>
    <w:p>
      <w:pPr>
        <w:spacing w:before="20" w:after="20"/>
        <w:ind w:left="283"/>
      </w:pPr>
      <w:r>
        <w:rPr>
          <w:rFonts w:ascii="Calibri" w:hAnsi="Calibri"/>
          <w:b/>
          <w:color w:val="1C2535"/>
          <w:sz w:val="19"/>
        </w:rPr>
        <w:t xml:space="preserve">Tipo de activo digital: </w:t>
      </w:r>
      <w:r>
        <w:rPr>
          <w:rFonts w:ascii="Calibri" w:hAnsi="Calibri"/>
          <w:color w:val="1C2535"/>
          <w:sz w:val="19"/>
        </w:rPr>
        <w:t>Bitcoin (BTC) + Ethereum (ETH)</w:t>
      </w:r>
    </w:p>
    <w:p>
      <w:pPr>
        <w:spacing w:before="20" w:after="20"/>
        <w:ind w:left="283"/>
      </w:pPr>
      <w:r>
        <w:rPr>
          <w:rFonts w:ascii="Calibri" w:hAnsi="Calibri"/>
          <w:b/>
          <w:color w:val="1C2535"/>
          <w:sz w:val="19"/>
        </w:rPr>
        <w:t xml:space="preserve">Órgano judicial: </w:t>
      </w:r>
      <w:r>
        <w:rPr>
          <w:rFonts w:ascii="Calibri" w:hAnsi="Calibri"/>
          <w:color w:val="1C2535"/>
          <w:sz w:val="19"/>
        </w:rPr>
        <w:t>Juzgado Central de Instrucción n.º 3 — Audiencia Nacional</w:t>
      </w:r>
    </w:p>
    <w:p>
      <w:pPr>
        <w:spacing w:before="20" w:after="20"/>
        <w:ind w:left="283"/>
      </w:pPr>
      <w:r>
        <w:rPr>
          <w:rFonts w:ascii="Calibri" w:hAnsi="Calibri"/>
          <w:b/>
          <w:color w:val="1C2535"/>
          <w:sz w:val="19"/>
        </w:rPr>
        <w:t xml:space="preserve">Observaciones: </w:t>
      </w:r>
      <w:r>
        <w:rPr>
          <w:rFonts w:ascii="Calibri" w:hAnsi="Calibri"/>
          <w:color w:val="1C2535"/>
          <w:sz w:val="19"/>
        </w:rPr>
        <w:t>Organización criminal transnacional con múltiples investigados. Activos intervenidos en operación coordinada con Europol.</w:t>
      </w:r>
    </w:p>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FFF0D9"/>
          </w:tcPr>
          <w:p>
            <w:pPr>
              <w:spacing w:before="120" w:after="40"/>
              <w:jc w:val="center"/>
            </w:pPr>
            <w:r>
              <w:rPr>
                <w:rFonts w:ascii="Calibri" w:hAnsi="Calibri"/>
                <w:b/>
                <w:color w:val="A04800"/>
                <w:sz w:val="16"/>
              </w:rPr>
              <w:t>PUNTUACIÓN GLOBAL</w:t>
            </w:r>
          </w:p>
          <w:p>
            <w:pPr>
              <w:spacing w:before="40" w:after="120"/>
              <w:jc w:val="center"/>
            </w:pPr>
            <w:r>
              <w:rPr>
                <w:rFonts w:ascii="Calibri" w:hAnsi="Calibri"/>
                <w:b/>
                <w:color w:val="A04800"/>
                <w:sz w:val="26"/>
              </w:rPr>
              <w:t>58,75 / 100</w:t>
            </w:r>
          </w:p>
        </w:tc>
        <w:tc>
          <w:tcPr>
            <w:tcW w:type="dxa" w:w="2268"/>
            <w:shd w:val="clear" w:color="auto" w:fill="FF9933"/>
          </w:tcPr>
          <w:p>
            <w:pPr>
              <w:spacing w:before="120" w:after="40"/>
              <w:jc w:val="center"/>
            </w:pPr>
            <w:r>
              <w:rPr>
                <w:rFonts w:ascii="Calibri" w:hAnsi="Calibri"/>
                <w:b/>
                <w:color w:val="A04800"/>
                <w:sz w:val="16"/>
              </w:rPr>
              <w:t>NIVEL DE RIESGO</w:t>
            </w:r>
          </w:p>
          <w:p>
            <w:pPr>
              <w:spacing w:before="40" w:after="120"/>
              <w:jc w:val="center"/>
            </w:pPr>
            <w:r>
              <w:rPr>
                <w:rFonts w:ascii="Calibri" w:hAnsi="Calibri"/>
                <w:b/>
                <w:color w:val="A04800"/>
                <w:sz w:val="26"/>
              </w:rPr>
              <w:t>ALTO</w:t>
            </w:r>
          </w:p>
        </w:tc>
        <w:tc>
          <w:tcPr>
            <w:tcW w:type="dxa" w:w="3969"/>
            <w:shd w:val="clear" w:color="auto" w:fill="FFF0D9"/>
          </w:tcPr>
          <w:p>
            <w:pPr>
              <w:spacing w:before="120" w:after="40"/>
              <w:jc w:val="center"/>
            </w:pPr>
            <w:r>
              <w:rPr>
                <w:rFonts w:ascii="Calibri" w:hAnsi="Calibri"/>
                <w:b/>
                <w:color w:val="A04800"/>
                <w:sz w:val="16"/>
              </w:rPr>
              <w:t>DESCRIPCIÓN</w:t>
            </w:r>
          </w:p>
          <w:p>
            <w:pPr>
              <w:spacing w:before="40" w:after="120"/>
              <w:jc w:val="center"/>
            </w:pPr>
            <w:r>
              <w:rPr>
                <w:rFonts w:ascii="Calibri" w:hAnsi="Calibri"/>
                <w:b w:val="0"/>
                <w:color w:val="A04800"/>
                <w:sz w:val="18"/>
              </w:rPr>
              <w:t>Riesgo procesal elevado. Elevar propuesta motivada al Ministerio Fiscal en el plazo más breve posible.</w:t>
            </w:r>
          </w:p>
        </w:tc>
      </w:tr>
    </w:tbl>
    <w:p/>
    <w:p>
      <w:pPr>
        <w:spacing w:before="120" w:after="40"/>
      </w:pPr>
      <w:r>
        <w:rPr>
          <w:rFonts w:ascii="Calibri" w:hAnsi="Calibri"/>
          <w:b/>
          <w:color w:val="1F3864"/>
          <w:sz w:val="20"/>
        </w:rPr>
        <w:t>3. Desglose por dimensión</w:t>
      </w:r>
    </w:p>
    <w:p>
      <w:pPr>
        <w:spacing w:before="20" w:after="20"/>
        <w:ind w:left="283"/>
      </w:pPr>
      <w:r>
        <w:rPr>
          <w:rFonts w:ascii="Calibri" w:hAnsi="Calibri"/>
          <w:b/>
          <w:color w:val="1C2535"/>
          <w:sz w:val="19"/>
        </w:rPr>
        <w:t xml:space="preserve">Dim. I  — Volatilidad (peso 35 %): </w:t>
      </w:r>
      <w:r>
        <w:rPr>
          <w:rFonts w:ascii="Calibri" w:hAnsi="Calibri"/>
          <w:color w:val="1C2535"/>
          <w:sz w:val="19"/>
        </w:rPr>
        <w:t>5 / 8 brutos → 21,88 / 35 ponderados · 62,5 % de riesgo en la dimensión</w:t>
      </w:r>
    </w:p>
    <w:p>
      <w:pPr>
        <w:spacing w:before="20" w:after="20"/>
        <w:ind w:left="283"/>
      </w:pPr>
      <w:r>
        <w:rPr>
          <w:rFonts w:ascii="Calibri" w:hAnsi="Calibri"/>
          <w:b/>
          <w:color w:val="1C2535"/>
          <w:sz w:val="19"/>
        </w:rPr>
        <w:t xml:space="preserve">Dim. II — Custodia y Trazabilidad (peso 30 %): </w:t>
      </w:r>
      <w:r>
        <w:rPr>
          <w:rFonts w:ascii="Calibri" w:hAnsi="Calibri"/>
          <w:color w:val="1C2535"/>
          <w:sz w:val="19"/>
        </w:rPr>
        <w:t>3 / 6 brutos → 15,00 / 30 ponderados · 50,0 % de riesgo en la dimensión</w:t>
      </w:r>
    </w:p>
    <w:p>
      <w:pPr>
        <w:spacing w:before="20" w:after="20"/>
        <w:ind w:left="283"/>
      </w:pPr>
      <w:r>
        <w:rPr>
          <w:rFonts w:ascii="Calibri" w:hAnsi="Calibri"/>
          <w:b/>
          <w:color w:val="1C2535"/>
          <w:sz w:val="19"/>
        </w:rPr>
        <w:t xml:space="preserve">Dim. III — Contexto Operativo Policial (peso 35 %): </w:t>
      </w:r>
      <w:r>
        <w:rPr>
          <w:rFonts w:ascii="Calibri" w:hAnsi="Calibri"/>
          <w:color w:val="1C2535"/>
          <w:sz w:val="19"/>
        </w:rPr>
        <w:t>3 / 6 brutos → 21,87 / 35 ponderados · 50,0 % de riesgo en la dimensión</w:t>
      </w:r>
    </w:p>
    <w:p>
      <w:pPr>
        <w:spacing w:before="20" w:after="20"/>
        <w:ind w:left="283"/>
      </w:pPr>
      <w:r>
        <w:rPr>
          <w:rFonts w:ascii="Calibri" w:hAnsi="Calibri"/>
          <w:b/>
          <w:color w:val="1C2535"/>
          <w:sz w:val="19"/>
        </w:rPr>
        <w:t xml:space="preserve">TOTAL: </w:t>
      </w:r>
      <w:r>
        <w:rPr>
          <w:rFonts w:ascii="Calibri" w:hAnsi="Calibri"/>
          <w:color w:val="1C2535"/>
          <w:sz w:val="19"/>
        </w:rPr>
        <w:t>58,75 / 100 — nivel ALTO (umbral 51–75)</w:t>
      </w:r>
    </w:p>
    <w:p/>
    <w:p>
      <w:pPr>
        <w:spacing w:before="120" w:after="40"/>
      </w:pPr>
      <w:r>
        <w:rPr>
          <w:rFonts w:ascii="Calibri" w:hAnsi="Calibri"/>
          <w:b/>
          <w:color w:val="1F3864"/>
          <w:sz w:val="20"/>
        </w:rPr>
        <w:t>4. Protocolo policial de actuación — Nivel ALTO</w:t>
      </w:r>
    </w:p>
    <w:p>
      <w:pPr>
        <w:spacing w:before="20" w:after="20"/>
        <w:ind w:left="283"/>
      </w:pPr>
      <w:r>
        <w:rPr>
          <w:rFonts w:ascii="Calibri" w:hAnsi="Calibri"/>
          <w:color w:val="1C2535"/>
          <w:sz w:val="19"/>
        </w:rPr>
        <w:t>• Elevar propuesta motivada al Ministerio Fiscal en el plazo más breve posible para que inste la enajenación anticipada.</w:t>
      </w:r>
    </w:p>
    <w:p>
      <w:pPr>
        <w:spacing w:before="20" w:after="20"/>
        <w:ind w:left="283"/>
      </w:pPr>
      <w:r>
        <w:rPr>
          <w:rFonts w:ascii="Calibri" w:hAnsi="Calibri"/>
          <w:color w:val="1C2535"/>
          <w:sz w:val="19"/>
        </w:rPr>
        <w:t>• Solicitar perito especializado en activos digitales para reforzar la trazabilidad y el soporte técnico de la propuesta.</w:t>
      </w:r>
    </w:p>
    <w:p>
      <w:pPr>
        <w:spacing w:before="20" w:after="20"/>
        <w:ind w:left="283"/>
      </w:pPr>
      <w:r>
        <w:rPr>
          <w:rFonts w:ascii="Calibri" w:hAnsi="Calibri"/>
          <w:color w:val="1C2535"/>
          <w:sz w:val="19"/>
        </w:rPr>
        <w:t>• Valorar la enajenación anticipada del activo o su conversión a moneda fiduciaria estable conforme al art. 367 ter LECrim.</w:t>
      </w:r>
    </w:p>
    <w:p>
      <w:pPr>
        <w:spacing w:before="20" w:after="20"/>
        <w:ind w:left="283"/>
      </w:pPr>
      <w:r>
        <w:rPr>
          <w:rFonts w:ascii="Calibri" w:hAnsi="Calibri"/>
          <w:color w:val="1C2535"/>
          <w:sz w:val="19"/>
        </w:rPr>
        <w:t>• Realizar verificación inmediata del saldo en blockchain y documentar el estado actual de la custodia en acta formal.</w:t>
      </w:r>
    </w:p>
    <w:p>
      <w:pPr>
        <w:spacing w:before="20" w:after="20"/>
        <w:ind w:left="283"/>
      </w:pPr>
      <w:r>
        <w:rPr>
          <w:rFonts w:ascii="Calibri" w:hAnsi="Calibri"/>
          <w:color w:val="1C2535"/>
          <w:sz w:val="19"/>
        </w:rPr>
        <w:t>• Iniciar diligencias para obtener o asegurar las claves privadas si no están bajo control policial formalizado.</w:t>
      </w:r>
    </w:p>
    <w:p>
      <w:pPr>
        <w:spacing w:before="20" w:after="20"/>
        <w:ind w:left="283"/>
      </w:pPr>
      <w:r>
        <w:rPr>
          <w:rFonts w:ascii="Calibri" w:hAnsi="Calibri"/>
          <w:color w:val="1C2535"/>
          <w:sz w:val="19"/>
        </w:rPr>
        <w:t>• Notificar la situación al LAJ y al Ministerio Fiscal con el presente informe como soporte documental.</w:t>
      </w:r>
    </w:p>
    <w:p/>
    <w:p>
      <w:pPr>
        <w:spacing w:before="160" w:after="240"/>
        <w:jc w:val="center"/>
      </w:pPr>
      <w:r>
        <w:rPr>
          <w:rFonts w:ascii="Calibri" w:hAnsi="Calibri"/>
          <w:b w:val="0"/>
          <w:i/>
          <w:color w:val="4A5E72"/>
          <w:sz w:val="16"/>
        </w:rPr>
        <w:t>Informe generado por MGRPIC v3.0 · Herramienta de apoyo a la decisión para unidades de Policía Judicial · Los resultados tienen carácter orientativo · No es una herramienta judicial</w:t>
      </w:r>
    </w:p>
    <w:p>
      <w:r>
        <w:br w:type="page"/>
      </w:r>
    </w:p>
    <w:p>
      <w:pPr>
        <w:spacing w:before="280" w:after="120"/>
        <w:pBdr>
          <w:bottom w:val="single" w:sz="6" w:color="1F3864"/>
        </w:pBdr>
      </w:pPr>
      <w:r>
        <w:rPr>
          <w:rFonts w:ascii="Calibri" w:hAnsi="Calibri"/>
          <w:b/>
          <w:color w:val="1F3864"/>
          <w:sz w:val="26"/>
        </w:rPr>
        <w:t>8. Apartado técnico: código y construcción de la herramienta</w:t>
      </w:r>
    </w:p>
    <w:p>
      <w:pPr>
        <w:spacing w:before="0" w:after="160"/>
        <w:jc w:val="left"/>
      </w:pPr>
      <w:r>
        <w:rPr>
          <w:rFonts w:ascii="Calibri" w:hAnsi="Calibri"/>
          <w:b w:val="0"/>
          <w:i w:val="0"/>
          <w:color w:val="1C2535"/>
          <w:sz w:val="20"/>
        </w:rPr>
        <w:t>La MGRPIC se ha construido como una aplicación web de página única (SPA) en HTML5, CSS3 y JavaScript puro, sin dependencias de frameworks ni librerías externas. El código fuente se distribuye en cinco archivos especializados que se empaquetan en un único archivo HTML autocontenido (MGRPIC.html) para su distribución.</w:t>
      </w:r>
    </w:p>
    <w:p>
      <w:pPr>
        <w:spacing w:before="160" w:after="120"/>
      </w:pPr>
      <w:r>
        <w:rPr>
          <w:rFonts w:ascii="Calibri" w:hAnsi="Calibri"/>
          <w:b/>
          <w:color w:val="2E74B5"/>
          <w:sz w:val="22"/>
        </w:rPr>
        <w:t>8.1  Arquitectura general</w:t>
      </w:r>
    </w:p>
    <w:p>
      <w:pPr>
        <w:spacing w:before="0" w:after="120"/>
        <w:jc w:val="left"/>
      </w:pPr>
      <w:r>
        <w:rPr>
          <w:rFonts w:ascii="Calibri" w:hAnsi="Calibri"/>
          <w:b w:val="0"/>
          <w:i w:val="0"/>
          <w:color w:val="1C2535"/>
          <w:sz w:val="20"/>
        </w:rPr>
        <w:t>La herramienta adopta el patrón IIFE (Immediately Invoked Function Expression) para encapsular cada módulo en su propio ámbito léxico, evitando colisiones de nombres en el espacio global. Cada módulo expone únicamente su API pública. El estado global de la evaluación se mantiene en memoria durante la sesión mediante un objeto plano compartido por el controlador de la aplicación:</w:t>
      </w:r>
    </w:p>
    <w:p>
      <w:pPr>
        <w:spacing w:before="80" w:after="160"/>
        <w:ind w:left="283"/>
      </w:pPr>
      <w:r>
        <w:rPr>
          <w:rFonts w:ascii="Courier New" w:hAnsi="Courier New"/>
          <w:color w:val="1F3864"/>
          <w:sz w:val="17"/>
        </w:rPr>
        <w:t>const estado = {</w:t>
        <w:br/>
        <w:t xml:space="preserve">    datosCaso:       {},   // Metadatos del caso (diligencias, unidad, fecha…)</w:t>
        <w:br/>
        <w:t xml:space="preserve">    respuestas:      {},   // { V1: 0|1|2, V2: …, C1: …, J1: … }</w:t>
        <w:br/>
        <w:t xml:space="preserve">    ultimoResultado: null, // Resultado de calculateScore() tras el paso 5</w:t>
        <w:br/>
        <w:t xml:space="preserve">    pantallaActual:  0     // Índice de la pantalla visible (0–6)</w:t>
        <w:br/>
        <w:t>};</w:t>
      </w:r>
    </w:p>
    <w:p>
      <w:pPr>
        <w:spacing w:before="0" w:after="160"/>
        <w:jc w:val="left"/>
      </w:pPr>
      <w:r>
        <w:rPr>
          <w:rFonts w:ascii="Calibri" w:hAnsi="Calibri"/>
          <w:b w:val="0"/>
          <w:i w:val="0"/>
          <w:color w:val="1C2535"/>
          <w:sz w:val="20"/>
        </w:rPr>
        <w:t>No se utiliza ningún sistema de enrutamiento, DOM virtual ni gestión reactiva de estado. La navegación entre pantallas se gestiona mostrando o ocultando secciones HTML mediante la clase CSS hidden, con transiciones de opacidad controladas por JavaScript.</w:t>
      </w:r>
    </w:p>
    <w:p>
      <w:pPr>
        <w:spacing w:before="160" w:after="120"/>
      </w:pPr>
      <w:r>
        <w:rPr>
          <w:rFonts w:ascii="Calibri" w:hAnsi="Calibri"/>
          <w:b/>
          <w:color w:val="2E74B5"/>
          <w:sz w:val="22"/>
        </w:rPr>
        <w:t>8.2  Estructura de archivos fuente</w:t>
      </w:r>
    </w:p>
    <w:tbl>
      <w:tblPr>
        <w:tblStyle w:val="TableGrid"/>
        <w:tblW w:type="auto" w:w="0"/>
        <w:jc w:val="left"/>
        <w:tblLook w:firstColumn="1" w:firstRow="1" w:lastColumn="0" w:lastRow="0" w:noHBand="0" w:noVBand="1" w:val="04A0"/>
      </w:tblPr>
      <w:tblGrid>
        <w:gridCol w:w="3024"/>
        <w:gridCol w:w="3024"/>
        <w:gridCol w:w="3024"/>
      </w:tblGrid>
      <w:tr>
        <w:tc>
          <w:tcPr>
            <w:tcW w:type="dxa" w:w="1984"/>
            <w:shd w:val="clear" w:color="auto" w:fill="1F3864"/>
          </w:tcPr>
          <w:p>
            <w:pPr>
              <w:spacing w:before="60" w:after="60"/>
              <w:jc w:val="center"/>
            </w:pPr>
            <w:r>
              <w:rPr>
                <w:rFonts w:ascii="Calibri" w:hAnsi="Calibri"/>
                <w:b/>
                <w:color w:val="FFFFFF"/>
                <w:sz w:val="18"/>
              </w:rPr>
              <w:t>Archivo</w:t>
            </w:r>
          </w:p>
        </w:tc>
        <w:tc>
          <w:tcPr>
            <w:tcW w:type="dxa" w:w="1247"/>
            <w:shd w:val="clear" w:color="auto" w:fill="1F3864"/>
          </w:tcPr>
          <w:p>
            <w:pPr>
              <w:spacing w:before="60" w:after="60"/>
              <w:jc w:val="center"/>
            </w:pPr>
            <w:r>
              <w:rPr>
                <w:rFonts w:ascii="Calibri" w:hAnsi="Calibri"/>
                <w:b/>
                <w:color w:val="FFFFFF"/>
                <w:sz w:val="18"/>
              </w:rPr>
              <w:t>Tamaño</w:t>
            </w:r>
          </w:p>
        </w:tc>
        <w:tc>
          <w:tcPr>
            <w:tcW w:type="dxa" w:w="5556"/>
            <w:shd w:val="clear" w:color="auto" w:fill="1F3864"/>
          </w:tcPr>
          <w:p>
            <w:pPr>
              <w:spacing w:before="60" w:after="60"/>
              <w:jc w:val="center"/>
            </w:pPr>
            <w:r>
              <w:rPr>
                <w:rFonts w:ascii="Calibri" w:hAnsi="Calibri"/>
                <w:b/>
                <w:color w:val="FFFFFF"/>
                <w:sz w:val="18"/>
              </w:rPr>
              <w:t>Responsabilidad</w:t>
            </w:r>
          </w:p>
        </w:tc>
      </w:tr>
      <w:tr>
        <w:tc>
          <w:tcPr>
            <w:tcW w:type="dxa" w:w="1984"/>
            <w:shd w:val="clear" w:color="auto" w:fill="E6EFF8"/>
          </w:tcPr>
          <w:p>
            <w:pPr>
              <w:spacing w:before="60" w:after="60"/>
              <w:jc w:val="center"/>
            </w:pPr>
            <w:r>
              <w:rPr>
                <w:rFonts w:ascii="Courier New" w:hAnsi="Courier New"/>
                <w:b/>
                <w:color w:val="1F3864"/>
                <w:sz w:val="18"/>
              </w:rPr>
              <w:t>index.html</w:t>
            </w:r>
          </w:p>
        </w:tc>
        <w:tc>
          <w:tcPr>
            <w:tcW w:type="dxa" w:w="1247"/>
          </w:tcPr>
          <w:p>
            <w:pPr>
              <w:spacing w:before="60" w:after="60"/>
              <w:jc w:val="center"/>
            </w:pPr>
            <w:r>
              <w:rPr>
                <w:rFonts w:ascii="Calibri" w:hAnsi="Calibri"/>
                <w:b w:val="0"/>
                <w:color w:val="1C2535"/>
                <w:sz w:val="18"/>
              </w:rPr>
              <w:t>~320 líneas</w:t>
            </w:r>
          </w:p>
        </w:tc>
        <w:tc>
          <w:tcPr>
            <w:tcW w:type="dxa" w:w="5556"/>
          </w:tcPr>
          <w:p>
            <w:pPr>
              <w:spacing w:before="60" w:after="60"/>
            </w:pPr>
            <w:r>
              <w:rPr>
                <w:rFonts w:ascii="Calibri" w:hAnsi="Calibri"/>
                <w:b w:val="0"/>
                <w:color w:val="1C2535"/>
                <w:sz w:val="18"/>
              </w:rPr>
              <w:t>Estructura HTML de las siete pantallas. Las pantallas 2 a 6 se renderizan dinámicamente mediante JavaScript; solo la pantalla 0 (inicio) y la 1 (datos del caso) están maquetadas estáticamente.</w:t>
            </w:r>
          </w:p>
        </w:tc>
      </w:tr>
      <w:tr>
        <w:tc>
          <w:tcPr>
            <w:tcW w:type="dxa" w:w="1984"/>
            <w:shd w:val="clear" w:color="auto" w:fill="E6EFF8"/>
          </w:tcPr>
          <w:p>
            <w:pPr>
              <w:spacing w:before="60" w:after="60"/>
              <w:jc w:val="center"/>
            </w:pPr>
            <w:r>
              <w:rPr>
                <w:rFonts w:ascii="Courier New" w:hAnsi="Courier New"/>
                <w:b/>
                <w:color w:val="1F3864"/>
                <w:sz w:val="18"/>
              </w:rPr>
              <w:t>css/styles.css</w:t>
            </w:r>
          </w:p>
        </w:tc>
        <w:tc>
          <w:tcPr>
            <w:tcW w:type="dxa" w:w="1247"/>
          </w:tcPr>
          <w:p>
            <w:pPr>
              <w:spacing w:before="60" w:after="60"/>
              <w:jc w:val="center"/>
            </w:pPr>
            <w:r>
              <w:rPr>
                <w:rFonts w:ascii="Calibri" w:hAnsi="Calibri"/>
                <w:b w:val="0"/>
                <w:color w:val="1C2535"/>
                <w:sz w:val="18"/>
              </w:rPr>
              <w:t>~1 443 líneas</w:t>
            </w:r>
          </w:p>
        </w:tc>
        <w:tc>
          <w:tcPr>
            <w:tcW w:type="dxa" w:w="5556"/>
          </w:tcPr>
          <w:p>
            <w:pPr>
              <w:spacing w:before="60" w:after="60"/>
            </w:pPr>
            <w:r>
              <w:rPr>
                <w:rFonts w:ascii="Calibri" w:hAnsi="Calibri"/>
                <w:b w:val="0"/>
                <w:color w:val="1C2535"/>
                <w:sz w:val="18"/>
              </w:rPr>
              <w:t>Hoja de estilos completa: layout de cabecera y pantallas, tarjetas de indicadores, tabla de resultados, estilos de impresión (@media print) y paleta de colores institucional.</w:t>
            </w:r>
          </w:p>
        </w:tc>
      </w:tr>
      <w:tr>
        <w:tc>
          <w:tcPr>
            <w:tcW w:type="dxa" w:w="1984"/>
            <w:shd w:val="clear" w:color="auto" w:fill="E6EFF8"/>
          </w:tcPr>
          <w:p>
            <w:pPr>
              <w:spacing w:before="60" w:after="60"/>
              <w:jc w:val="center"/>
            </w:pPr>
            <w:r>
              <w:rPr>
                <w:rFonts w:ascii="Courier New" w:hAnsi="Courier New"/>
                <w:b/>
                <w:color w:val="1F3864"/>
                <w:sz w:val="18"/>
              </w:rPr>
              <w:t>js/data.js</w:t>
            </w:r>
          </w:p>
        </w:tc>
        <w:tc>
          <w:tcPr>
            <w:tcW w:type="dxa" w:w="1247"/>
          </w:tcPr>
          <w:p>
            <w:pPr>
              <w:spacing w:before="60" w:after="60"/>
              <w:jc w:val="center"/>
            </w:pPr>
            <w:r>
              <w:rPr>
                <w:rFonts w:ascii="Calibri" w:hAnsi="Calibri"/>
                <w:b w:val="0"/>
                <w:color w:val="1C2535"/>
                <w:sz w:val="18"/>
              </w:rPr>
              <w:t>~297 líneas</w:t>
            </w:r>
          </w:p>
        </w:tc>
        <w:tc>
          <w:tcPr>
            <w:tcW w:type="dxa" w:w="5556"/>
          </w:tcPr>
          <w:p>
            <w:pPr>
              <w:spacing w:before="60" w:after="60"/>
            </w:pPr>
            <w:r>
              <w:rPr>
                <w:rFonts w:ascii="Calibri" w:hAnsi="Calibri"/>
                <w:b w:val="0"/>
                <w:color w:val="1C2535"/>
                <w:sz w:val="18"/>
              </w:rPr>
              <w:t>Definición canónica y estática de dimensiones, indicadores, opciones de respuesta y escala de riesgo. Actúa como única fuente de verdad del modelo. Cualquier modificación de ponderaciones o indicadores se realiza exclusivamente en este archivo.</w:t>
            </w:r>
          </w:p>
        </w:tc>
      </w:tr>
      <w:tr>
        <w:tc>
          <w:tcPr>
            <w:tcW w:type="dxa" w:w="1984"/>
            <w:shd w:val="clear" w:color="auto" w:fill="E6EFF8"/>
          </w:tcPr>
          <w:p>
            <w:pPr>
              <w:spacing w:before="60" w:after="60"/>
              <w:jc w:val="center"/>
            </w:pPr>
            <w:r>
              <w:rPr>
                <w:rFonts w:ascii="Courier New" w:hAnsi="Courier New"/>
                <w:b/>
                <w:color w:val="1F3864"/>
                <w:sz w:val="18"/>
              </w:rPr>
              <w:t>js/scoring.js</w:t>
            </w:r>
          </w:p>
        </w:tc>
        <w:tc>
          <w:tcPr>
            <w:tcW w:type="dxa" w:w="1247"/>
          </w:tcPr>
          <w:p>
            <w:pPr>
              <w:spacing w:before="60" w:after="60"/>
              <w:jc w:val="center"/>
            </w:pPr>
            <w:r>
              <w:rPr>
                <w:rFonts w:ascii="Calibri" w:hAnsi="Calibri"/>
                <w:b w:val="0"/>
                <w:color w:val="1C2535"/>
                <w:sz w:val="18"/>
              </w:rPr>
              <w:t>~305 líneas</w:t>
            </w:r>
          </w:p>
        </w:tc>
        <w:tc>
          <w:tcPr>
            <w:tcW w:type="dxa" w:w="5556"/>
          </w:tcPr>
          <w:p>
            <w:pPr>
              <w:spacing w:before="60" w:after="60"/>
            </w:pPr>
            <w:r>
              <w:rPr>
                <w:rFonts w:ascii="Calibri" w:hAnsi="Calibri"/>
                <w:b w:val="0"/>
                <w:color w:val="1C2535"/>
                <w:sz w:val="18"/>
              </w:rPr>
              <w:t>Motor de cálculo. Implementa calculateScore(), validateAnswers() y los alias de compatibilidad. Independiente de la interfaz: recibe el objeto de respuestas y devuelve puntuaciones detalladas por dimensión, total ponderado, nivel de riesgo y orientaciones.</w:t>
            </w:r>
          </w:p>
        </w:tc>
      </w:tr>
      <w:tr>
        <w:tc>
          <w:tcPr>
            <w:tcW w:type="dxa" w:w="1984"/>
            <w:shd w:val="clear" w:color="auto" w:fill="E6EFF8"/>
          </w:tcPr>
          <w:p>
            <w:pPr>
              <w:spacing w:before="60" w:after="60"/>
              <w:jc w:val="center"/>
            </w:pPr>
            <w:r>
              <w:rPr>
                <w:rFonts w:ascii="Courier New" w:hAnsi="Courier New"/>
                <w:b/>
                <w:color w:val="1F3864"/>
                <w:sz w:val="18"/>
              </w:rPr>
              <w:t>js/report.js</w:t>
            </w:r>
          </w:p>
        </w:tc>
        <w:tc>
          <w:tcPr>
            <w:tcW w:type="dxa" w:w="1247"/>
          </w:tcPr>
          <w:p>
            <w:pPr>
              <w:spacing w:before="60" w:after="60"/>
              <w:jc w:val="center"/>
            </w:pPr>
            <w:r>
              <w:rPr>
                <w:rFonts w:ascii="Calibri" w:hAnsi="Calibri"/>
                <w:b w:val="0"/>
                <w:color w:val="1C2535"/>
                <w:sz w:val="18"/>
              </w:rPr>
              <w:t>~400 líneas</w:t>
            </w:r>
          </w:p>
        </w:tc>
        <w:tc>
          <w:tcPr>
            <w:tcW w:type="dxa" w:w="5556"/>
          </w:tcPr>
          <w:p>
            <w:pPr>
              <w:spacing w:before="60" w:after="60"/>
            </w:pPr>
            <w:r>
              <w:rPr>
                <w:rFonts w:ascii="Calibri" w:hAnsi="Calibri"/>
                <w:b w:val="0"/>
                <w:color w:val="1C2535"/>
                <w:sz w:val="18"/>
              </w:rPr>
              <w:t>Generador del informe HTML. Construye el marcado del informe final a partir del resultado de scoring.js e incluye la lógica de impresión y copia al portapapeles.</w:t>
            </w:r>
          </w:p>
        </w:tc>
      </w:tr>
      <w:tr>
        <w:tc>
          <w:tcPr>
            <w:tcW w:type="dxa" w:w="1984"/>
            <w:shd w:val="clear" w:color="auto" w:fill="E6EFF8"/>
          </w:tcPr>
          <w:p>
            <w:pPr>
              <w:spacing w:before="60" w:after="60"/>
              <w:jc w:val="center"/>
            </w:pPr>
            <w:r>
              <w:rPr>
                <w:rFonts w:ascii="Courier New" w:hAnsi="Courier New"/>
                <w:b/>
                <w:color w:val="1F3864"/>
                <w:sz w:val="18"/>
              </w:rPr>
              <w:t>js/app.js</w:t>
            </w:r>
          </w:p>
        </w:tc>
        <w:tc>
          <w:tcPr>
            <w:tcW w:type="dxa" w:w="1247"/>
          </w:tcPr>
          <w:p>
            <w:pPr>
              <w:spacing w:before="60" w:after="60"/>
              <w:jc w:val="center"/>
            </w:pPr>
            <w:r>
              <w:rPr>
                <w:rFonts w:ascii="Calibri" w:hAnsi="Calibri"/>
                <w:b w:val="0"/>
                <w:color w:val="1C2535"/>
                <w:sz w:val="18"/>
              </w:rPr>
              <w:t>~782 líneas</w:t>
            </w:r>
          </w:p>
        </w:tc>
        <w:tc>
          <w:tcPr>
            <w:tcW w:type="dxa" w:w="5556"/>
          </w:tcPr>
          <w:p>
            <w:pPr>
              <w:spacing w:before="60" w:after="60"/>
            </w:pPr>
            <w:r>
              <w:rPr>
                <w:rFonts w:ascii="Calibri" w:hAnsi="Calibri"/>
                <w:b w:val="0"/>
                <w:color w:val="1C2535"/>
                <w:sz w:val="18"/>
              </w:rPr>
              <w:t>Controlador principal. Gestiona la navegación entre pantallas, renderiza las dimensiones e indicadores, captura las respuestas del usuario, actualiza el indicador de progreso global y coordina la llamada a scoring.js y report.js.</w:t>
            </w:r>
          </w:p>
        </w:tc>
      </w:tr>
    </w:tbl>
    <w:p/>
    <w:p>
      <w:pPr>
        <w:spacing w:before="160" w:after="120"/>
      </w:pPr>
      <w:r>
        <w:rPr>
          <w:rFonts w:ascii="Calibri" w:hAnsi="Calibri"/>
          <w:b/>
          <w:color w:val="2E74B5"/>
          <w:sz w:val="22"/>
        </w:rPr>
        <w:t>8.3  Motor de cálculo — scoring.js</w:t>
      </w:r>
    </w:p>
    <w:p>
      <w:pPr>
        <w:spacing w:before="0" w:after="120"/>
        <w:jc w:val="left"/>
      </w:pPr>
      <w:r>
        <w:rPr>
          <w:rFonts w:ascii="Calibri" w:hAnsi="Calibri"/>
          <w:b w:val="0"/>
          <w:i w:val="0"/>
          <w:color w:val="1C2535"/>
          <w:sz w:val="20"/>
        </w:rPr>
        <w:t>El módulo MGRPICScoring implementa la lógica de puntuación de forma completamente independiente de la interfaz. La función principal calculateScore() itera sobre las dimensiones definidas en data.js, aplica el factor de ponderación de cada una y acumula la puntuación total:</w:t>
      </w:r>
    </w:p>
    <w:p>
      <w:pPr>
        <w:spacing w:before="80" w:after="160"/>
        <w:ind w:left="283"/>
      </w:pPr>
      <w:r>
        <w:rPr>
          <w:rFonts w:ascii="Courier New" w:hAnsi="Courier New"/>
          <w:color w:val="1F3864"/>
          <w:sz w:val="17"/>
        </w:rPr>
        <w:t>// Fórmulas de ponderación</w:t>
        <w:br/>
        <w:t>Dim I  (Volatilidad)          = (V1+V2+V3+V4) × 4,375   → máx. 35 pts</w:t>
        <w:br/>
        <w:t>Dim II (Custodia)             = (C1+C2+C3)    × 5,000   → máx. 30 pts</w:t>
        <w:br/>
        <w:t>Dim III (Contexto policial)   = (J1+J2+J3)    × 5,833…  → máx. 35 pts</w:t>
        <w:br/>
        <w:t>─────────────────────────────────────────────────────────</w:t>
        <w:br/>
        <w:t>TOTAL = Dim I + Dim II + Dim III               → escala 0–100</w:t>
        <w:br/>
        <w:br/>
        <w:t>// Factor exacto D3: 35/6 (JavaScript evalúa en tiempo de análisis)</w:t>
        <w:br/>
        <w:t>// Verificación: 6 × (35/6) = 35 exacto; suma de máximos = 35+30+35 = 100 ✓</w:t>
      </w:r>
    </w:p>
    <w:p>
      <w:pPr>
        <w:spacing w:before="0" w:after="160"/>
        <w:jc w:val="left"/>
      </w:pPr>
      <w:r>
        <w:rPr>
          <w:rFonts w:ascii="Calibri" w:hAnsi="Calibri"/>
          <w:b w:val="0"/>
          <w:i w:val="0"/>
          <w:color w:val="1C2535"/>
          <w:sz w:val="20"/>
        </w:rPr>
        <w:t>La API pública del módulo expone también validateAnswers() —que bloquea el avance a resultados si algún indicador no ha sido respondido— y funciones auxiliares para calcular el porcentaje de completitud del formulario en tiempo real.</w:t>
      </w:r>
    </w:p>
    <w:p>
      <w:pPr>
        <w:spacing w:before="160" w:after="120"/>
      </w:pPr>
      <w:r>
        <w:rPr>
          <w:rFonts w:ascii="Calibri" w:hAnsi="Calibri"/>
          <w:b/>
          <w:color w:val="2E74B5"/>
          <w:sz w:val="22"/>
        </w:rPr>
        <w:t>8.4  Controlador de navegación — app.js</w:t>
      </w:r>
    </w:p>
    <w:p>
      <w:pPr>
        <w:spacing w:before="0" w:after="120"/>
        <w:jc w:val="left"/>
      </w:pPr>
      <w:r>
        <w:rPr>
          <w:rFonts w:ascii="Calibri" w:hAnsi="Calibri"/>
          <w:b w:val="0"/>
          <w:i w:val="0"/>
          <w:color w:val="1C2535"/>
          <w:sz w:val="20"/>
        </w:rPr>
        <w:t>El objeto global App expone la API de navegación de la herramienta. La función irA(n) gestiona la transición entre las siete pantallas de la aplicación aplicando las siguientes reglas de negocio:</w:t>
      </w:r>
    </w:p>
    <w:p>
      <w:pPr>
        <w:pStyle w:val="ListBullet"/>
        <w:spacing w:before="20" w:after="60"/>
        <w:ind w:left="283"/>
      </w:pPr>
      <w:r>
        <w:rPr>
          <w:rFonts w:ascii="Calibri" w:hAnsi="Calibri"/>
          <w:color w:val="1C2535"/>
          <w:sz w:val="20"/>
        </w:rPr>
        <w:t>Pantallas 0 y 1 (inicio / datos del caso): acceso libre.</w:t>
      </w:r>
    </w:p>
    <w:p>
      <w:pPr>
        <w:pStyle w:val="ListBullet"/>
        <w:spacing w:before="20" w:after="60"/>
        <w:ind w:left="283"/>
      </w:pPr>
      <w:r>
        <w:rPr>
          <w:rFonts w:ascii="Calibri" w:hAnsi="Calibri"/>
          <w:color w:val="1C2535"/>
          <w:sz w:val="20"/>
        </w:rPr>
        <w:t>Pantallas 2, 3 y 4 (dimensiones I–III): se renderiza la dimensión correspondiente en la primera visita; la validación de indicadores se realiza al intentar avanzar a la pantalla siguiente, bloqueando el avance si algún indicador de la dimensión actual no ha sido respondido.</w:t>
      </w:r>
    </w:p>
    <w:p>
      <w:pPr>
        <w:pStyle w:val="ListBullet"/>
        <w:spacing w:before="20" w:after="60"/>
        <w:ind w:left="283"/>
      </w:pPr>
      <w:r>
        <w:rPr>
          <w:rFonts w:ascii="Calibri" w:hAnsi="Calibri"/>
          <w:color w:val="1C2535"/>
          <w:sz w:val="20"/>
        </w:rPr>
        <w:t>Pantalla 5 (resultados): se llama a MGRPICScoring.calculateScore() y se renderiza el panel de resultados con el desglose por dimensión, los factores de mayor riesgo y el protocolo policial de actuación.</w:t>
      </w:r>
    </w:p>
    <w:p>
      <w:pPr>
        <w:pStyle w:val="ListBullet"/>
        <w:spacing w:before="20" w:after="60"/>
        <w:ind w:left="283"/>
      </w:pPr>
      <w:r>
        <w:rPr>
          <w:rFonts w:ascii="Calibri" w:hAnsi="Calibri"/>
          <w:color w:val="1C2535"/>
          <w:sz w:val="20"/>
        </w:rPr>
        <w:t>Pantalla 6 (informe): se llama a MGRPICReport.generarHTML() con el resultado de scoring y los datos del caso para producir el informe final imprimible.</w:t>
      </w:r>
    </w:p>
    <w:p/>
    <w:p>
      <w:pPr>
        <w:spacing w:before="160" w:after="120"/>
      </w:pPr>
      <w:r>
        <w:rPr>
          <w:rFonts w:ascii="Calibri" w:hAnsi="Calibri"/>
          <w:b/>
          <w:color w:val="2E74B5"/>
          <w:sz w:val="22"/>
        </w:rPr>
        <w:t>8.5  Proceso de empaquetado: generación de MGRPIC.html</w:t>
      </w:r>
    </w:p>
    <w:p>
      <w:pPr>
        <w:spacing w:before="0" w:after="120"/>
        <w:jc w:val="left"/>
      </w:pPr>
      <w:r>
        <w:rPr>
          <w:rFonts w:ascii="Calibri" w:hAnsi="Calibri"/>
          <w:b w:val="0"/>
          <w:i w:val="0"/>
          <w:color w:val="1C2535"/>
          <w:sz w:val="20"/>
        </w:rPr>
        <w:t>Para la distribución se genera un único archivo HTML autocontenido (MGRPIC.html) mediante un script Python que inlinea la hoja de estilos y los cuatro módulos JavaScript directamente en el HTML, sustituyendo las etiquetas &lt;link&gt; y &lt;script src="…"&gt; por bloques &lt;style&gt; y &lt;script&gt; con el contenido de cada archivo. El resultado es un archivo de ~3 200 líneas que funciona en cualquier navegador sin necesidad de servidor web, conexión a internet ni instalación de software adicional.</w:t>
      </w:r>
    </w:p>
    <w:p>
      <w:pPr>
        <w:spacing w:before="80" w:after="160"/>
        <w:ind w:left="283"/>
      </w:pPr>
      <w:r>
        <w:rPr>
          <w:rFonts w:ascii="Courier New" w:hAnsi="Courier New"/>
          <w:color w:val="1F3864"/>
          <w:sz w:val="17"/>
        </w:rPr>
        <w:t># Fragmento del script de empaquetado (Python)</w:t>
        <w:br/>
        <w:t>with open('index.html') as f: html = f.read()</w:t>
        <w:br/>
        <w:t>with open('css/styles.css') as f: css = f.read()</w:t>
        <w:br/>
        <w:t>with open('js/data.js')    as f: data = f.read()</w:t>
        <w:br/>
        <w:t>with open('js/scoring.js') as f: scoring = f.read()</w:t>
        <w:br/>
        <w:t>with open('js/report.js')  as f: report = f.read()</w:t>
        <w:br/>
        <w:t>with open('js/app.js')     as f: app = f.read()</w:t>
        <w:br/>
        <w:br/>
        <w:t>html = html.replace('&lt;link rel="stylesheet" href="css/styles.css" /&gt;',</w:t>
        <w:br/>
        <w:t xml:space="preserve">                    f'&lt;style&gt;\n{css}\n&lt;/style&gt;')</w:t>
        <w:br/>
        <w:t>html = html.replace('&lt;script src="js/data.js"&gt;&lt;/script&gt;',</w:t>
        <w:br/>
        <w:t xml:space="preserve">                    f'&lt;script&gt;\n{data}\n&lt;/script&gt;')</w:t>
        <w:br/>
        <w:t># … ídem para scoring.js, report.js y app.js</w:t>
        <w:br/>
        <w:br/>
        <w:t>with open('MGRPIC.html', 'w') as f: f.write(html)</w:t>
      </w:r>
    </w:p>
    <w:p>
      <w:pPr>
        <w:spacing w:before="160" w:after="120"/>
      </w:pPr>
      <w:r>
        <w:rPr>
          <w:rFonts w:ascii="Calibri" w:hAnsi="Calibri"/>
          <w:b/>
          <w:color w:val="2E74B5"/>
          <w:sz w:val="22"/>
        </w:rPr>
        <w:t>8.6  Decisiones de diseño relevantes</w:t>
      </w:r>
    </w:p>
    <w:p>
      <w:pPr>
        <w:spacing w:before="100" w:after="20"/>
      </w:pPr>
      <w:r>
        <w:rPr>
          <w:rFonts w:ascii="Calibri" w:hAnsi="Calibri"/>
          <w:b/>
          <w:color w:val="2E74B5"/>
          <w:sz w:val="20"/>
        </w:rPr>
        <w:t>Sin frameworks ni dependencias</w:t>
      </w:r>
    </w:p>
    <w:p>
      <w:pPr>
        <w:spacing w:before="0" w:after="80"/>
        <w:ind w:left="283"/>
      </w:pPr>
      <w:r>
        <w:rPr>
          <w:rFonts w:ascii="Calibri" w:hAnsi="Calibri"/>
          <w:color w:val="1C2535"/>
          <w:sz w:val="20"/>
        </w:rPr>
        <w:t>La ausencia de React, Vue, Angular o cualquier librería de terceros garantiza que la herramienta no quede obsoleta por cambios en dependencias externas y puede ejecutarse en entornos con acceso a internet restringido, habitual en redes policiales.</w:t>
      </w:r>
    </w:p>
    <w:p>
      <w:pPr>
        <w:spacing w:before="100" w:after="20"/>
      </w:pPr>
      <w:r>
        <w:rPr>
          <w:rFonts w:ascii="Calibri" w:hAnsi="Calibri"/>
          <w:b/>
          <w:color w:val="2E74B5"/>
          <w:sz w:val="20"/>
        </w:rPr>
        <w:t>Módulo de datos como única fuente de verdad</w:t>
      </w:r>
    </w:p>
    <w:p>
      <w:pPr>
        <w:spacing w:before="0" w:after="80"/>
        <w:ind w:left="283"/>
      </w:pPr>
      <w:r>
        <w:rPr>
          <w:rFonts w:ascii="Calibri" w:hAnsi="Calibri"/>
          <w:color w:val="1C2535"/>
          <w:sz w:val="20"/>
        </w:rPr>
        <w:t>Toda la definición de indicadores, ponderaciones y escala de riesgo reside en data.js. Scoring.js y report.js leen los datos de este módulo; ningún valor de ponderación está duplicado en el código. Esto permite modificar la matriz (añadir un indicador, cambiar un factor) editando un único archivo.</w:t>
      </w:r>
    </w:p>
    <w:p>
      <w:pPr>
        <w:spacing w:before="100" w:after="20"/>
      </w:pPr>
      <w:r>
        <w:rPr>
          <w:rFonts w:ascii="Calibri" w:hAnsi="Calibri"/>
          <w:b/>
          <w:color w:val="2E74B5"/>
          <w:sz w:val="20"/>
        </w:rPr>
        <w:t>Privacidad por diseño</w:t>
      </w:r>
    </w:p>
    <w:p>
      <w:pPr>
        <w:spacing w:before="0" w:after="80"/>
        <w:ind w:left="283"/>
      </w:pPr>
      <w:r>
        <w:rPr>
          <w:rFonts w:ascii="Calibri" w:hAnsi="Calibri"/>
          <w:color w:val="1C2535"/>
          <w:sz w:val="20"/>
        </w:rPr>
        <w:t>Ningún dato introducido por el usuario abandona el dispositivo. No hay llamadas a APIs externas, cookies, almacenamiento local (localStorage/sessionStorage) ni analítica. El estado se mantiene exclusivamente en la memoria RAM de la pestaña del navegador y desaparece al cerrarla.</w:t>
      </w:r>
    </w:p>
    <w:p>
      <w:pPr>
        <w:spacing w:before="100" w:after="20"/>
      </w:pPr>
      <w:r>
        <w:rPr>
          <w:rFonts w:ascii="Calibri" w:hAnsi="Calibri"/>
          <w:b/>
          <w:color w:val="2E74B5"/>
          <w:sz w:val="20"/>
        </w:rPr>
        <w:t>CSS de impresión (@media print)</w:t>
      </w:r>
    </w:p>
    <w:p>
      <w:pPr>
        <w:spacing w:before="0" w:after="80"/>
        <w:ind w:left="283"/>
      </w:pPr>
      <w:r>
        <w:rPr>
          <w:rFonts w:ascii="Calibri" w:hAnsi="Calibri"/>
          <w:color w:val="1C2535"/>
          <w:sz w:val="20"/>
        </w:rPr>
        <w:t>La hoja de estilos incluye reglas específicas para impresión que ocultan la navegación, la cabecera y los controles, y aplican márgenes y tipografía adecuados para el formato papel A4, permitiendo generar un PDF imprimible directamente desde el navegador.</w:t>
      </w:r>
    </w:p>
    <w:p>
      <w:pPr>
        <w:spacing w:before="100" w:after="20"/>
      </w:pPr>
      <w:r>
        <w:rPr>
          <w:rFonts w:ascii="Calibri" w:hAnsi="Calibri"/>
          <w:b/>
          <w:color w:val="2E74B5"/>
          <w:sz w:val="20"/>
        </w:rPr>
        <w:t>Validación estricta antes de resultados</w:t>
      </w:r>
    </w:p>
    <w:p>
      <w:pPr>
        <w:spacing w:before="0" w:after="80"/>
        <w:ind w:left="283"/>
      </w:pPr>
      <w:r>
        <w:rPr>
          <w:rFonts w:ascii="Calibri" w:hAnsi="Calibri"/>
          <w:color w:val="1C2535"/>
          <w:sz w:val="20"/>
        </w:rPr>
        <w:t>La función validateAnswers() impide avanzar a la pantalla de resultados si alguno de los 10 indicadores no ha sido respondido. La validación se realiza por dimensión al intentar navegar, con identificación visual de los indicadores pendientes.</w:t>
      </w:r>
    </w:p>
    <w:p/>
    <w:p>
      <w:pPr>
        <w:spacing w:before="240" w:after="0"/>
        <w:jc w:val="center"/>
      </w:pPr>
      <w:r>
        <w:rPr>
          <w:rFonts w:ascii="Calibri" w:hAnsi="Calibri"/>
          <w:b w:val="0"/>
          <w:i/>
          <w:color w:val="4A5E72"/>
          <w:sz w:val="16"/>
        </w:rPr>
        <w:t>MGRPIC v3.0 · Instrumento de uso exclusivo para unidades de Policía Judicial · Los resultados tienen carácter orientativo · No es una herramienta judicial</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