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DENA Interop</w:t>
      </w:r>
    </w:p>
    <w:p>
      <w:pPr>
        <w:pStyle w:val="Subtitle"/>
      </w:pPr>
      <w:r>
        <w:t>Esquema ejecutivo del proyecto, servicios y operación</w:t>
      </w:r>
    </w:p>
    <w:p>
      <w:pPr>
        <w:pStyle w:val="Lead"/>
      </w:pPr>
      <w:r>
        <w:t xml:space="preserve">Documento resumido para entender la plataforma sin recorrer todo el repositorio. Versión local generada desde el análisis del repo </w:t>
      </w:r>
      <w:r>
        <w:rPr>
          <w:rStyle w:val="CodeChar"/>
        </w:rPr>
        <w:t>dena-interop</w:t>
      </w:r>
      <w:r>
        <w:t>.</w:t>
      </w:r>
    </w:p>
    <w:tbl>
      <w:tblPr>
        <w:tblW w:w="9360" w:type="dxa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Borders>
          <w:top w:val="single" w:sz="4" w:color="D6D0C6"/>
          <w:left w:val="single" w:sz="4" w:color="D6D0C6"/>
          <w:bottom w:val="single" w:sz="4" w:color="D6D0C6"/>
          <w:right w:val="single" w:sz="4" w:color="D6D0C6"/>
          <w:insideH w:val="single" w:sz="4" w:color="D6D0C6"/>
          <w:insideV w:val="single" w:sz="4" w:color="D6D0C6"/>
        </w:tblBorders>
      </w:tblPr>
      <w:tblGrid>
        <w:gridCol w:w="2448"/>
        <w:gridCol w:w="6912"/>
      </w:tblGrid>
      <w:tr>
        <w:trPr>
          <w:tblHeader/>
        </w:trPr>
        <w:tc>
          <w:tcPr>
            <w:tcW w:w="2448" w:type="dxa"/>
            <w:shd w:fill="E9E3D7"/>
            <w:vAlign w:val="center"/>
          </w:tcPr>
          <w:p>
            <w:pPr>
              <w:pStyle w:val="TableHeader"/>
            </w:pPr>
            <w:r>
              <w:t>Campo</w:t>
            </w:r>
          </w:p>
        </w:tc>
        <w:tc>
          <w:tcPr>
            <w:tcW w:w="6912" w:type="dxa"/>
            <w:shd w:fill="E9E3D7"/>
            <w:vAlign w:val="center"/>
          </w:tcPr>
          <w:p>
            <w:pPr>
              <w:pStyle w:val="TableHeader"/>
            </w:pPr>
            <w:r>
              <w:t>Valor</w:t>
            </w:r>
          </w:p>
        </w:tc>
      </w:tr>
      <w:tr>
        <w:tc>
          <w:tcPr>
            <w:tcW w:w="2448" w:type="dxa"/>
            <w:vAlign w:val="center"/>
          </w:tcPr>
          <w:p>
            <w:pPr>
              <w:pStyle w:val="TableBody"/>
            </w:pPr>
            <w:r>
              <w:t>Repositorio</w:t>
            </w:r>
          </w:p>
        </w:tc>
        <w:tc>
          <w:tcPr>
            <w:tcW w:w="6912" w:type="dxa"/>
            <w:vAlign w:val="center"/>
          </w:tcPr>
          <w:p>
            <w:pPr>
              <w:pStyle w:val="TableBody"/>
            </w:pPr>
            <w:r>
              <w:t>github.com/alvaroogaarcia-git/dena-interop</w:t>
            </w:r>
          </w:p>
        </w:tc>
      </w:tr>
      <w:tr>
        <w:tc>
          <w:tcPr>
            <w:tcW w:w="2448" w:type="dxa"/>
            <w:vAlign w:val="center"/>
          </w:tcPr>
          <w:p>
            <w:pPr>
              <w:pStyle w:val="TableBody"/>
            </w:pPr>
            <w:r>
              <w:t>Tipo de proyecto</w:t>
            </w:r>
          </w:p>
        </w:tc>
        <w:tc>
          <w:tcPr>
            <w:tcW w:w="6912" w:type="dxa"/>
            <w:vAlign w:val="center"/>
          </w:tcPr>
          <w:p>
            <w:pPr>
              <w:pStyle w:val="TableBody"/>
            </w:pPr>
            <w:r>
              <w:t>Stack local de interoperabilidad sobre k3s</w:t>
            </w:r>
          </w:p>
        </w:tc>
      </w:tr>
      <w:tr>
        <w:tc>
          <w:tcPr>
            <w:tcW w:w="2448" w:type="dxa"/>
            <w:vAlign w:val="center"/>
          </w:tcPr>
          <w:p>
            <w:pPr>
              <w:pStyle w:val="TableBody"/>
            </w:pPr>
            <w:r>
              <w:t>Entorno validado</w:t>
            </w:r>
          </w:p>
        </w:tc>
        <w:tc>
          <w:tcPr>
            <w:tcW w:w="6912" w:type="dxa"/>
            <w:vAlign w:val="center"/>
          </w:tcPr>
          <w:p>
            <w:pPr>
              <w:pStyle w:val="TableBody"/>
            </w:pPr>
            <w:r>
              <w:t>DietPi x86_64, nodo único, IP demo 192.168.56.15</w:t>
            </w:r>
          </w:p>
        </w:tc>
      </w:tr>
      <w:tr>
        <w:tc>
          <w:tcPr>
            <w:tcW w:w="2448" w:type="dxa"/>
            <w:vAlign w:val="center"/>
          </w:tcPr>
          <w:p>
            <w:pPr>
              <w:pStyle w:val="TableBody"/>
            </w:pPr>
            <w:r>
              <w:t>Objetivo</w:t>
            </w:r>
          </w:p>
        </w:tc>
        <w:tc>
          <w:tcPr>
            <w:tcW w:w="6912" w:type="dxa"/>
            <w:vAlign w:val="center"/>
          </w:tcPr>
          <w:p>
            <w:pPr>
              <w:pStyle w:val="TableBody"/>
            </w:pPr>
            <w:r>
              <w:t>Demo/piloto DENA con identidad, gateway, APIs, sincronización de datos y observabilidad</w:t>
            </w:r>
          </w:p>
        </w:tc>
      </w:tr>
    </w:tbl>
    <w:p>
      <w:pPr>
        <w:pStyle w:val="Small"/>
      </w:pPr>
    </w:p>
    <w:p>
      <w:pPr>
        <w:pStyle w:val="Heading1"/>
      </w:pPr>
      <w:bookmarkStart w:id="1" w:name="indice"/>
      <w:r>
        <w:t>Índice interactivo</w:t>
      </w:r>
      <w:bookmarkEnd w:id="1"/>
    </w:p>
    <w:p>
      <w:pPr>
        <w:pStyle w:val="TocItem"/>
      </w:pPr>
      <w:hyperlink w:anchor="sec_que_es" w:history="1">
        <w:r>
          <w:rPr>
            <w:rStyle w:val="Hyperlink"/>
          </w:rPr>
          <w:t>1. Qué es el proyecto</w:t>
        </w:r>
      </w:hyperlink>
    </w:p>
    <w:p>
      <w:pPr>
        <w:pStyle w:val="TocItem"/>
      </w:pPr>
      <w:hyperlink w:anchor="sec_arquitectura" w:history="1">
        <w:r>
          <w:rPr>
            <w:rStyle w:val="Hyperlink"/>
          </w:rPr>
          <w:t>2. Arquitectura clara</w:t>
        </w:r>
      </w:hyperlink>
    </w:p>
    <w:p>
      <w:pPr>
        <w:pStyle w:val="TocItem"/>
      </w:pPr>
      <w:hyperlink w:anchor="sec_componentes" w:history="1">
        <w:r>
          <w:rPr>
            <w:rStyle w:val="Hyperlink"/>
          </w:rPr>
          <w:t>3. Componentes principales</w:t>
        </w:r>
      </w:hyperlink>
    </w:p>
    <w:p>
      <w:pPr>
        <w:pStyle w:val="TocItem"/>
      </w:pPr>
      <w:hyperlink w:anchor="sec_servicios" w:history="1">
        <w:r>
          <w:rPr>
            <w:rStyle w:val="Hyperlink"/>
          </w:rPr>
          <w:t>4. Servicios que ofrece</w:t>
        </w:r>
      </w:hyperlink>
    </w:p>
    <w:p>
      <w:pPr>
        <w:pStyle w:val="TocItem"/>
      </w:pPr>
      <w:hyperlink w:anchor="sec_flujos" w:history="1">
        <w:r>
          <w:rPr>
            <w:rStyle w:val="Hyperlink"/>
          </w:rPr>
          <w:t>5. Flujos de datos</w:t>
        </w:r>
      </w:hyperlink>
    </w:p>
    <w:p>
      <w:pPr>
        <w:pStyle w:val="TocItem"/>
      </w:pPr>
      <w:hyperlink w:anchor="sec_accesos" w:history="1">
        <w:r>
          <w:rPr>
            <w:rStyle w:val="Hyperlink"/>
          </w:rPr>
          <w:t>6. Servidores, URLs y accesos</w:t>
        </w:r>
      </w:hyperlink>
    </w:p>
    <w:p>
      <w:pPr>
        <w:pStyle w:val="TocItem"/>
      </w:pPr>
      <w:hyperlink w:anchor="sec_bases" w:history="1">
        <w:r>
          <w:rPr>
            <w:rStyle w:val="Hyperlink"/>
          </w:rPr>
          <w:t>7. Bases de datos</w:t>
        </w:r>
      </w:hyperlink>
    </w:p>
    <w:p>
      <w:pPr>
        <w:pStyle w:val="TocItem"/>
      </w:pPr>
      <w:hyperlink w:anchor="sec_operacion" w:history="1">
        <w:r>
          <w:rPr>
            <w:rStyle w:val="Hyperlink"/>
          </w:rPr>
          <w:t>8. Despliegue y operación</w:t>
        </w:r>
      </w:hyperlink>
    </w:p>
    <w:p>
      <w:pPr>
        <w:pStyle w:val="TocItem"/>
      </w:pPr>
      <w:hyperlink w:anchor="sec_verificacion" w:history="1">
        <w:r>
          <w:rPr>
            <w:rStyle w:val="Hyperlink"/>
          </w:rPr>
          <w:t>9. Verificación rápida</w:t>
        </w:r>
      </w:hyperlink>
    </w:p>
    <w:p>
      <w:pPr>
        <w:pStyle w:val="TocItem"/>
      </w:pPr>
      <w:hyperlink w:anchor="sec_riesgos" w:history="1">
        <w:r>
          <w:rPr>
            <w:rStyle w:val="Hyperlink"/>
          </w:rPr>
          <w:t>10. Riesgos y decisiones pendientes</w:t>
        </w:r>
      </w:hyperlink>
    </w:p>
    <w:p>
      <w:pPr>
        <w:pStyle w:val="Heading1"/>
        <w:keepNext/>
      </w:pPr>
      <w:bookmarkStart w:id="2" w:name="sec_que_es"/>
      <w:r>
        <w:t>1. Qué es el proyecto</w:t>
      </w:r>
      <w:bookmarkEnd w:id="2"/>
    </w:p>
    <w:p>
      <w:pPr>
        <w:pStyle w:val="Body"/>
      </w:pPr>
      <w:r>
        <w:rPr>
          <w:rStyle w:val="CodeChar"/>
        </w:rPr>
        <w:t>dena-interop</w:t>
      </w:r>
      <w:r>
        <w:t xml:space="preserve"> es una plataforma demo de interoperabilidad DENA. No es una app única: es un conjunto de servicios desplegados en Kubernetes local para demostrar login, gateway, APIs, sincronización de expedientes, consola de administración y observabilidad.</w:t>
      </w:r>
    </w:p>
    <w:p>
      <w:pPr>
        <w:pStyle w:val="Body"/>
      </w:pPr>
      <w:r>
        <w:t>La idea central es sencilla:</w:t>
      </w:r>
    </w:p>
    <w:p>
      <w:pPr>
        <w:pStyle w:val="Bullet"/>
        <w:numPr>
          <w:ilvl w:val="0"/>
          <w:numId w:val="1"/>
        </w:numPr>
      </w:pPr>
      <w:r>
        <w:t>APISIX es la entrada única.</w:t>
      </w:r>
    </w:p>
    <w:p>
      <w:pPr>
        <w:pStyle w:val="Bullet"/>
        <w:numPr>
          <w:ilvl w:val="0"/>
          <w:numId w:val="1"/>
        </w:numPr>
      </w:pPr>
      <w:r>
        <w:t>Keycloak autentica usuarios y emite tokens OIDC.</w:t>
      </w:r>
    </w:p>
    <w:p>
      <w:pPr>
        <w:pStyle w:val="Bullet"/>
        <w:numPr>
          <w:ilvl w:val="0"/>
          <w:numId w:val="1"/>
        </w:numPr>
      </w:pPr>
      <w:r>
        <w:t>PostgREST publica APIs REST sobre PostgreSQL.</w:t>
      </w:r>
    </w:p>
    <w:p>
      <w:pPr>
        <w:pStyle w:val="Bullet"/>
        <w:numPr>
          <w:ilvl w:val="0"/>
          <w:numId w:val="1"/>
        </w:numPr>
      </w:pPr>
      <w:r>
        <w:t>Mathesar permite editar el origen de expedientes.</w:t>
      </w:r>
    </w:p>
    <w:p>
      <w:pPr>
        <w:pStyle w:val="Bullet"/>
        <w:numPr>
          <w:ilvl w:val="0"/>
          <w:numId w:val="1"/>
        </w:numPr>
      </w:pPr>
      <w:r>
        <w:t>NiFi sincroniza cambios hacia el datalake y hacia datos externos.</w:t>
      </w:r>
    </w:p>
    <w:p>
      <w:pPr>
        <w:pStyle w:val="Bullet"/>
        <w:numPr>
          <w:ilvl w:val="0"/>
          <w:numId w:val="1"/>
        </w:numPr>
      </w:pPr>
      <w:r>
        <w:t>Grafana y Prometheus/Loki/Tempo permiten operar y diagnosticar el entorno.</w:t>
      </w:r>
    </w:p>
    <w:p>
      <w:pPr>
        <w:pStyle w:val="Heading1"/>
        <w:keepNext/>
      </w:pPr>
      <w:bookmarkStart w:id="3" w:name="sec_arquitectura"/>
      <w:r>
        <w:t>2. Arquitectura clara</w:t>
      </w:r>
      <w:bookmarkEnd w:id="3"/>
    </w:p>
    <w:p>
      <w:pPr>
        <w:pStyle w:val="Body"/>
      </w:pPr>
      <w:r>
        <w:t>Vista resumida del sistema:</w:t>
      </w:r>
    </w:p>
    <w:p>
      <w:pPr>
        <w:pStyle w:val="CodeBlock"/>
      </w:pPr>
      <w:r>
        <w:t>Usuario / navegador</w:t>
      </w:r>
    </w:p>
    <w:p>
      <w:pPr>
        <w:pStyle w:val="CodeBlock"/>
      </w:pPr>
      <w:r>
        <w:t xml:space="preserve">  -&gt; APISIX :30080</w:t>
      </w:r>
    </w:p>
    <w:p>
      <w:pPr>
        <w:pStyle w:val="CodeBlock"/>
      </w:pPr>
      <w:r>
        <w:t xml:space="preserve">      -&gt; SPA ciudadana</w:t>
      </w:r>
    </w:p>
    <w:p>
      <w:pPr>
        <w:pStyle w:val="CodeBlock"/>
      </w:pPr>
      <w:r>
        <w:t xml:space="preserve">      -&gt; Consola admin DENA</w:t>
      </w:r>
    </w:p>
    <w:p>
      <w:pPr>
        <w:pStyle w:val="CodeBlock"/>
      </w:pPr>
      <w:r>
        <w:t xml:space="preserve">      -&gt; Keycloak /realms y /admin</w:t>
      </w:r>
    </w:p>
    <w:p>
      <w:pPr>
        <w:pStyle w:val="CodeBlock"/>
      </w:pPr>
      <w:r>
        <w:t xml:space="preserve">      -&gt; PostgREST datalake /api y /dena/admin-files</w:t>
      </w:r>
    </w:p>
    <w:p>
      <w:pPr>
        <w:pStyle w:val="CodeBlock"/>
      </w:pPr>
      <w:r>
        <w:t xml:space="preserve">      -&gt; PostgREST datos externos /dena/external</w:t>
      </w:r>
    </w:p>
    <w:p>
      <w:pPr>
        <w:pStyle w:val="CodeBlock"/>
      </w:pPr>
      <w:r>
        <w:t/>
      </w:r>
    </w:p>
    <w:p>
      <w:pPr>
        <w:pStyle w:val="CodeBlock"/>
      </w:pPr>
      <w:r>
        <w:t>Mathesar -&gt; PostgreSQL verticales -&gt; NiFi -&gt; PostgreSQL datalake -&gt; PostgREST -&gt; APISIX</w:t>
      </w:r>
    </w:p>
    <w:p>
      <w:pPr>
        <w:pStyle w:val="CodeBlock"/>
      </w:pPr>
      <w:r>
        <w:t>Mathesar -&gt; PostgreSQL verticales -&gt; NiFi -&gt; PostgreSQL datos_externos</w:t>
      </w:r>
    </w:p>
    <w:p>
      <w:pPr>
        <w:pStyle w:val="Body"/>
      </w:pPr>
      <w:r>
        <w:t>El patrón es gateway + identidad + datos + sincronización + observabilidad. Todo corre en un nodo k3s local, separado por namespaces.</w:t>
      </w:r>
    </w:p>
    <w:p>
      <w:pPr>
        <w:pStyle w:val="Heading1"/>
        <w:keepNext/>
      </w:pPr>
      <w:bookmarkStart w:id="4" w:name="sec_componentes"/>
      <w:r>
        <w:t>3. Componentes principales</w:t>
      </w:r>
      <w:bookmarkEnd w:id="4"/>
    </w:p>
    <w:tbl>
      <w:tblPr>
        <w:tblW w:w="9360" w:type="dxa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Borders>
          <w:top w:val="single" w:sz="4" w:color="D6D0C6"/>
          <w:left w:val="single" w:sz="4" w:color="D6D0C6"/>
          <w:bottom w:val="single" w:sz="4" w:color="D6D0C6"/>
          <w:right w:val="single" w:sz="4" w:color="D6D0C6"/>
          <w:insideH w:val="single" w:sz="4" w:color="D6D0C6"/>
          <w:insideV w:val="single" w:sz="4" w:color="D6D0C6"/>
        </w:tblBorders>
      </w:tblPr>
      <w:tblGrid>
        <w:gridCol w:w="2304"/>
        <w:gridCol w:w="2016"/>
        <w:gridCol w:w="5040"/>
      </w:tblGrid>
      <w:tr>
        <w:trPr>
          <w:tblHeader/>
        </w:trPr>
        <w:tc>
          <w:tcPr>
            <w:tcW w:w="2304" w:type="dxa"/>
            <w:shd w:fill="E9E3D7"/>
            <w:vAlign w:val="center"/>
          </w:tcPr>
          <w:p>
            <w:pPr>
              <w:pStyle w:val="TableHeader"/>
            </w:pPr>
            <w:r>
              <w:t>Componente</w:t>
            </w:r>
          </w:p>
        </w:tc>
        <w:tc>
          <w:tcPr>
            <w:tcW w:w="2016" w:type="dxa"/>
            <w:shd w:fill="E9E3D7"/>
            <w:vAlign w:val="center"/>
          </w:tcPr>
          <w:p>
            <w:pPr>
              <w:pStyle w:val="TableHeader"/>
            </w:pPr>
            <w:r>
              <w:t>Namespace</w:t>
            </w:r>
          </w:p>
        </w:tc>
        <w:tc>
          <w:tcPr>
            <w:tcW w:w="5040" w:type="dxa"/>
            <w:shd w:fill="E9E3D7"/>
            <w:vAlign w:val="center"/>
          </w:tcPr>
          <w:p>
            <w:pPr>
              <w:pStyle w:val="TableHeader"/>
            </w:pPr>
            <w:r>
              <w:t>Función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APISIX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gateway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Entrada HTTP única. Publica SPA, consola, Keycloak y APIs protegidas.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Keycloak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auth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Login, realms, clientes OIDC, roles y usuarios demo.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SPA DENA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app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Portal ciudadano demo con login OIDC y consulta de expedientes.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Consola admin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app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Vista interna para operación funcional, trazabilidad y exportación.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PostgREST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datalake / datos-externos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Convierte PostgreSQL en API REST.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PostgreSQL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auth / datalake / verticales / datos-externos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Persistencia separada por responsabilidad.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NiFi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datalake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Sincronización incremental de datos.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Mathesar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verticales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Edición visual del origen de expedientes.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Grafana + Prometheus + Loki + Tempo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monitoring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Métricas, logs, trazas y dashboards.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Portainer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portainer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Inspección visual del clúster Kubernetes.</w:t>
            </w:r>
          </w:p>
        </w:tc>
      </w:tr>
    </w:tbl>
    <w:p>
      <w:pPr>
        <w:pStyle w:val="Small"/>
      </w:pPr>
    </w:p>
    <w:p>
      <w:pPr>
        <w:pStyle w:val="Heading1"/>
        <w:keepNext/>
      </w:pPr>
      <w:bookmarkStart w:id="5" w:name="sec_servicios"/>
      <w:r>
        <w:t>4. Servicios que ofrece</w:t>
      </w:r>
      <w:bookmarkEnd w:id="5"/>
    </w:p>
    <w:tbl>
      <w:tblPr>
        <w:tblW w:w="9360" w:type="dxa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Borders>
          <w:top w:val="single" w:sz="4" w:color="D6D0C6"/>
          <w:left w:val="single" w:sz="4" w:color="D6D0C6"/>
          <w:bottom w:val="single" w:sz="4" w:color="D6D0C6"/>
          <w:right w:val="single" w:sz="4" w:color="D6D0C6"/>
          <w:insideH w:val="single" w:sz="4" w:color="D6D0C6"/>
          <w:insideV w:val="single" w:sz="4" w:color="D6D0C6"/>
        </w:tblBorders>
      </w:tblPr>
      <w:tblGrid>
        <w:gridCol w:w="2304"/>
        <w:gridCol w:w="4608"/>
        <w:gridCol w:w="2448"/>
      </w:tblGrid>
      <w:tr>
        <w:trPr>
          <w:tblHeader/>
        </w:trPr>
        <w:tc>
          <w:tcPr>
            <w:tcW w:w="2304" w:type="dxa"/>
            <w:shd w:fill="E9E3D7"/>
            <w:vAlign w:val="center"/>
          </w:tcPr>
          <w:p>
            <w:pPr>
              <w:pStyle w:val="TableHeader"/>
            </w:pPr>
            <w:r>
              <w:t>Servicio</w:t>
            </w:r>
          </w:p>
        </w:tc>
        <w:tc>
          <w:tcPr>
            <w:tcW w:w="4608" w:type="dxa"/>
            <w:shd w:fill="E9E3D7"/>
            <w:vAlign w:val="center"/>
          </w:tcPr>
          <w:p>
            <w:pPr>
              <w:pStyle w:val="TableHeader"/>
            </w:pPr>
            <w:r>
              <w:t>Para qué sirve</w:t>
            </w:r>
          </w:p>
        </w:tc>
        <w:tc>
          <w:tcPr>
            <w:tcW w:w="2448" w:type="dxa"/>
            <w:shd w:fill="E9E3D7"/>
            <w:vAlign w:val="center"/>
          </w:tcPr>
          <w:p>
            <w:pPr>
              <w:pStyle w:val="TableHeader"/>
            </w:pPr>
            <w:r>
              <w:t>Entrada principal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Portal ciudadano</w:t>
            </w:r>
          </w:p>
        </w:tc>
        <w:tc>
          <w:tcPr>
            <w:tcW w:w="4608" w:type="dxa"/>
            <w:vAlign w:val="center"/>
          </w:tcPr>
          <w:p>
            <w:pPr>
              <w:pStyle w:val="TableBody"/>
            </w:pPr>
            <w:r>
              <w:t>Probar login OIDC y consulta de expedientes.</w:t>
            </w:r>
          </w:p>
        </w:tc>
        <w:tc>
          <w:tcPr>
            <w:tcW w:w="2448" w:type="dxa"/>
            <w:vAlign w:val="center"/>
          </w:tcPr>
          <w:p>
            <w:pPr>
              <w:pStyle w:val="TableBody"/>
            </w:pPr>
            <w:r>
              <w:t>http://localhost:30080/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Consola admin DENA</w:t>
            </w:r>
          </w:p>
        </w:tc>
        <w:tc>
          <w:tcPr>
            <w:tcW w:w="4608" w:type="dxa"/>
            <w:vAlign w:val="center"/>
          </w:tcPr>
          <w:p>
            <w:pPr>
              <w:pStyle w:val="TableBody"/>
            </w:pPr>
            <w:r>
              <w:t>Revisar expedientes, KPIs, trazabilidad, salud y exportaciones.</w:t>
            </w:r>
          </w:p>
        </w:tc>
        <w:tc>
          <w:tcPr>
            <w:tcW w:w="2448" w:type="dxa"/>
            <w:vAlign w:val="center"/>
          </w:tcPr>
          <w:p>
            <w:pPr>
              <w:pStyle w:val="TableBody"/>
            </w:pPr>
            <w:r>
              <w:t>/dena/admin-console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API DENA</w:t>
            </w:r>
          </w:p>
        </w:tc>
        <w:tc>
          <w:tcPr>
            <w:tcW w:w="4608" w:type="dxa"/>
            <w:vAlign w:val="center"/>
          </w:tcPr>
          <w:p>
            <w:pPr>
              <w:pStyle w:val="TableBody"/>
            </w:pPr>
            <w:r>
              <w:t>Consultar expedientes mediante PostgREST y RPC SQL.</w:t>
            </w:r>
          </w:p>
        </w:tc>
        <w:tc>
          <w:tcPr>
            <w:tcW w:w="2448" w:type="dxa"/>
            <w:vAlign w:val="center"/>
          </w:tcPr>
          <w:p>
            <w:pPr>
              <w:pStyle w:val="TableBody"/>
            </w:pPr>
            <w:r>
              <w:t>/api y POST /dena/admin-files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Datos externos DENA</w:t>
            </w:r>
          </w:p>
        </w:tc>
        <w:tc>
          <w:tcPr>
            <w:tcW w:w="4608" w:type="dxa"/>
            <w:vAlign w:val="center"/>
          </w:tcPr>
          <w:p>
            <w:pPr>
              <w:pStyle w:val="TableBody"/>
            </w:pPr>
            <w:r>
              <w:t>Explorar modelo semántico DENA enriquecido.</w:t>
            </w:r>
          </w:p>
        </w:tc>
        <w:tc>
          <w:tcPr>
            <w:tcW w:w="2448" w:type="dxa"/>
            <w:vAlign w:val="center"/>
          </w:tcPr>
          <w:p>
            <w:pPr>
              <w:pStyle w:val="TableBody"/>
            </w:pPr>
            <w:r>
              <w:t>/dena/external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Edición de origen</w:t>
            </w:r>
          </w:p>
        </w:tc>
        <w:tc>
          <w:tcPr>
            <w:tcW w:w="4608" w:type="dxa"/>
            <w:vAlign w:val="center"/>
          </w:tcPr>
          <w:p>
            <w:pPr>
              <w:pStyle w:val="TableBody"/>
            </w:pPr>
            <w:r>
              <w:t>Modificar expedientes fuente visualmente.</w:t>
            </w:r>
          </w:p>
        </w:tc>
        <w:tc>
          <w:tcPr>
            <w:tcW w:w="2448" w:type="dxa"/>
            <w:vAlign w:val="center"/>
          </w:tcPr>
          <w:p>
            <w:pPr>
              <w:pStyle w:val="TableBody"/>
            </w:pPr>
            <w:r>
              <w:t>Mathesar :30900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Sincronización incremental</w:t>
            </w:r>
          </w:p>
        </w:tc>
        <w:tc>
          <w:tcPr>
            <w:tcW w:w="4608" w:type="dxa"/>
            <w:vAlign w:val="center"/>
          </w:tcPr>
          <w:p>
            <w:pPr>
              <w:pStyle w:val="TableBody"/>
            </w:pPr>
            <w:r>
              <w:t>Propagar cambios desde verticales al datalake y datos externos.</w:t>
            </w:r>
          </w:p>
        </w:tc>
        <w:tc>
          <w:tcPr>
            <w:tcW w:w="2448" w:type="dxa"/>
            <w:vAlign w:val="center"/>
          </w:tcPr>
          <w:p>
            <w:pPr>
              <w:pStyle w:val="TableBody"/>
            </w:pPr>
            <w:r>
              <w:t>NiFi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Observabilidad</w:t>
            </w:r>
          </w:p>
        </w:tc>
        <w:tc>
          <w:tcPr>
            <w:tcW w:w="4608" w:type="dxa"/>
            <w:vAlign w:val="center"/>
          </w:tcPr>
          <w:p>
            <w:pPr>
              <w:pStyle w:val="TableBody"/>
            </w:pPr>
            <w:r>
              <w:t>Ver métricas, logs, trazas y estado del stack.</w:t>
            </w:r>
          </w:p>
        </w:tc>
        <w:tc>
          <w:tcPr>
            <w:tcW w:w="2448" w:type="dxa"/>
            <w:vAlign w:val="center"/>
          </w:tcPr>
          <w:p>
            <w:pPr>
              <w:pStyle w:val="TableBody"/>
            </w:pPr>
            <w:r>
              <w:t>Grafana :31803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Operación Kubernetes</w:t>
            </w:r>
          </w:p>
        </w:tc>
        <w:tc>
          <w:tcPr>
            <w:tcW w:w="4608" w:type="dxa"/>
            <w:vAlign w:val="center"/>
          </w:tcPr>
          <w:p>
            <w:pPr>
              <w:pStyle w:val="TableBody"/>
            </w:pPr>
            <w:r>
              <w:t>Inspección visual de workloads y namespaces.</w:t>
            </w:r>
          </w:p>
        </w:tc>
        <w:tc>
          <w:tcPr>
            <w:tcW w:w="2448" w:type="dxa"/>
            <w:vAlign w:val="center"/>
          </w:tcPr>
          <w:p>
            <w:pPr>
              <w:pStyle w:val="TableBody"/>
            </w:pPr>
            <w:r>
              <w:t>Portainer :30779</w:t>
            </w:r>
          </w:p>
        </w:tc>
      </w:tr>
    </w:tbl>
    <w:p>
      <w:pPr>
        <w:pStyle w:val="Small"/>
      </w:pPr>
    </w:p>
    <w:p>
      <w:pPr>
        <w:pStyle w:val="Heading1"/>
        <w:keepNext/>
      </w:pPr>
      <w:bookmarkStart w:id="6" w:name="sec_flujos"/>
      <w:r>
        <w:t>5. Flujos de datos</w:t>
      </w:r>
      <w:bookmarkEnd w:id="6"/>
    </w:p>
    <w:p>
      <w:pPr>
        <w:pStyle w:val="Heading2"/>
      </w:pPr>
      <w:r>
        <w:t>Flujo ciudadano/API:</w:t>
      </w:r>
    </w:p>
    <w:p>
      <w:pPr>
        <w:pStyle w:val="CodeBlock"/>
      </w:pPr>
      <w:r>
        <w:t>SPA -&gt; Keycloak -&gt; token OIDC -&gt; APISIX -&gt; PostgREST -&gt; datalake.dena.admin_file -&gt; JSON</w:t>
      </w:r>
    </w:p>
    <w:p>
      <w:pPr>
        <w:pStyle w:val="Heading2"/>
      </w:pPr>
      <w:r>
        <w:t>Flujo de edición y sincronización:</w:t>
      </w:r>
    </w:p>
    <w:p>
      <w:pPr>
        <w:pStyle w:val="CodeBlock"/>
      </w:pPr>
      <w:r>
        <w:t>Mathesar -&gt; verticales.expedientes.admin_file -&gt; NiFi cada 30s -&gt; datalake.dena.admin_file_staging -&gt; dena.dena_staging_to_main() -&gt; datalake.dena.admin_file</w:t>
      </w:r>
    </w:p>
    <w:p>
      <w:pPr>
        <w:pStyle w:val="Heading2"/>
      </w:pPr>
      <w:r>
        <w:t>Flujo de datos externos:</w:t>
      </w:r>
    </w:p>
    <w:p>
      <w:pPr>
        <w:pStyle w:val="CodeBlock"/>
      </w:pPr>
      <w:r>
        <w:t>verticales.admin_file -&gt; NiFi fase 20 -&gt; datos_externos.dena_admin_file_staging -&gt; trigger SQL -&gt; dena_business_object / dena_expediente</w:t>
      </w:r>
    </w:p>
    <w:p>
      <w:pPr>
        <w:pStyle w:val="Body"/>
      </w:pPr>
      <w:r>
        <w:t xml:space="preserve">Lo importante: </w:t>
      </w:r>
      <w:r>
        <w:rPr>
          <w:rStyle w:val="CodeChar"/>
        </w:rPr>
        <w:t>verticales</w:t>
      </w:r>
      <w:r>
        <w:t xml:space="preserve"> actúa como origen editable; </w:t>
      </w:r>
      <w:r>
        <w:rPr>
          <w:rStyle w:val="CodeChar"/>
        </w:rPr>
        <w:t>datalake</w:t>
      </w:r>
      <w:r>
        <w:t xml:space="preserve"> como API consolidada; </w:t>
      </w:r>
      <w:r>
        <w:rPr>
          <w:rStyle w:val="CodeChar"/>
        </w:rPr>
        <w:t>datos-externos</w:t>
      </w:r>
      <w:r>
        <w:t xml:space="preserve"> como modelo DENA semántico ampliado.</w:t>
      </w:r>
    </w:p>
    <w:p>
      <w:pPr>
        <w:pStyle w:val="Heading1"/>
        <w:keepNext/>
      </w:pPr>
      <w:bookmarkStart w:id="7" w:name="sec_accesos"/>
      <w:r>
        <w:t>6. Servidores, URLs y accesos</w:t>
      </w:r>
      <w:bookmarkEnd w:id="7"/>
    </w:p>
    <w:tbl>
      <w:tblPr>
        <w:tblW w:w="9360" w:type="dxa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Borders>
          <w:top w:val="single" w:sz="4" w:color="D6D0C6"/>
          <w:left w:val="single" w:sz="4" w:color="D6D0C6"/>
          <w:bottom w:val="single" w:sz="4" w:color="D6D0C6"/>
          <w:right w:val="single" w:sz="4" w:color="D6D0C6"/>
          <w:insideH w:val="single" w:sz="4" w:color="D6D0C6"/>
          <w:insideV w:val="single" w:sz="4" w:color="D6D0C6"/>
        </w:tblBorders>
      </w:tblPr>
      <w:tblGrid>
        <w:gridCol w:w="2304"/>
        <w:gridCol w:w="4032"/>
        <w:gridCol w:w="3024"/>
      </w:tblGrid>
      <w:tr>
        <w:trPr>
          <w:tblHeader/>
        </w:trPr>
        <w:tc>
          <w:tcPr>
            <w:tcW w:w="2304" w:type="dxa"/>
            <w:shd w:fill="E9E3D7"/>
            <w:vAlign w:val="center"/>
          </w:tcPr>
          <w:p>
            <w:pPr>
              <w:pStyle w:val="TableHeader"/>
            </w:pPr>
            <w:r>
              <w:t>Uso</w:t>
            </w:r>
          </w:p>
        </w:tc>
        <w:tc>
          <w:tcPr>
            <w:tcW w:w="4032" w:type="dxa"/>
            <w:shd w:fill="E9E3D7"/>
            <w:vAlign w:val="center"/>
          </w:tcPr>
          <w:p>
            <w:pPr>
              <w:pStyle w:val="TableHeader"/>
            </w:pPr>
            <w:r>
              <w:t>URL / puerto</w:t>
            </w:r>
          </w:p>
        </w:tc>
        <w:tc>
          <w:tcPr>
            <w:tcW w:w="3024" w:type="dxa"/>
            <w:shd w:fill="E9E3D7"/>
            <w:vAlign w:val="center"/>
          </w:tcPr>
          <w:p>
            <w:pPr>
              <w:pStyle w:val="TableHeader"/>
            </w:pPr>
            <w:r>
              <w:t>Notas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Gateway APISIX</w:t>
            </w:r>
          </w:p>
        </w:tc>
        <w:tc>
          <w:tcPr>
            <w:tcW w:w="4032" w:type="dxa"/>
            <w:vAlign w:val="center"/>
          </w:tcPr>
          <w:p>
            <w:pPr>
              <w:pStyle w:val="TableBody"/>
            </w:pPr>
            <w:r>
              <w:t>http://192.168.56.15:30080</w:t>
            </w:r>
          </w:p>
        </w:tc>
        <w:tc>
          <w:tcPr>
            <w:tcW w:w="3024" w:type="dxa"/>
            <w:vAlign w:val="center"/>
          </w:tcPr>
          <w:p>
            <w:pPr>
              <w:pStyle w:val="TableBody"/>
            </w:pPr>
            <w:r>
              <w:t>Entrada general.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SPA con OIDC</w:t>
            </w:r>
          </w:p>
        </w:tc>
        <w:tc>
          <w:tcPr>
            <w:tcW w:w="4032" w:type="dxa"/>
            <w:vAlign w:val="center"/>
          </w:tcPr>
          <w:p>
            <w:pPr>
              <w:pStyle w:val="TableBody"/>
            </w:pPr>
            <w:r>
              <w:t>http://localhost:30080/</w:t>
            </w:r>
          </w:p>
        </w:tc>
        <w:tc>
          <w:tcPr>
            <w:tcW w:w="3024" w:type="dxa"/>
            <w:vAlign w:val="center"/>
          </w:tcPr>
          <w:p>
            <w:pPr>
              <w:pStyle w:val="TableBody"/>
            </w:pPr>
            <w:r>
              <w:t>Usar túnel SSH para login/passkey.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Consola admin</w:t>
            </w:r>
          </w:p>
        </w:tc>
        <w:tc>
          <w:tcPr>
            <w:tcW w:w="4032" w:type="dxa"/>
            <w:vAlign w:val="center"/>
          </w:tcPr>
          <w:p>
            <w:pPr>
              <w:pStyle w:val="TableBody"/>
            </w:pPr>
            <w:r>
              <w:t>http://localhost:30080/dena/admin-console</w:t>
            </w:r>
          </w:p>
        </w:tc>
        <w:tc>
          <w:tcPr>
            <w:tcW w:w="3024" w:type="dxa"/>
            <w:vAlign w:val="center"/>
          </w:tcPr>
          <w:p>
            <w:pPr>
              <w:pStyle w:val="TableBody"/>
            </w:pPr>
            <w:r>
              <w:t>Admin funcional con passkey.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Keycloak admin</w:t>
            </w:r>
          </w:p>
        </w:tc>
        <w:tc>
          <w:tcPr>
            <w:tcW w:w="4032" w:type="dxa"/>
            <w:vAlign w:val="center"/>
          </w:tcPr>
          <w:p>
            <w:pPr>
              <w:pStyle w:val="TableBody"/>
            </w:pPr>
            <w:r>
              <w:t>http://localhost:30080/admin/piloto/console/</w:t>
            </w:r>
          </w:p>
        </w:tc>
        <w:tc>
          <w:tcPr>
            <w:tcW w:w="3024" w:type="dxa"/>
            <w:vAlign w:val="center"/>
          </w:tcPr>
          <w:p>
            <w:pPr>
              <w:pStyle w:val="TableBody"/>
            </w:pPr>
            <w:r>
              <w:t>Gestión del realm piloto.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Grafana</w:t>
            </w:r>
          </w:p>
        </w:tc>
        <w:tc>
          <w:tcPr>
            <w:tcW w:w="4032" w:type="dxa"/>
            <w:vAlign w:val="center"/>
          </w:tcPr>
          <w:p>
            <w:pPr>
              <w:pStyle w:val="TableBody"/>
            </w:pPr>
            <w:r>
              <w:t>http://192.168.56.15:31803/login</w:t>
            </w:r>
          </w:p>
        </w:tc>
        <w:tc>
          <w:tcPr>
            <w:tcW w:w="3024" w:type="dxa"/>
            <w:vAlign w:val="center"/>
          </w:tcPr>
          <w:p>
            <w:pPr>
              <w:pStyle w:val="TableBody"/>
            </w:pPr>
            <w:r>
              <w:t>Observabilidad.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Mathesar</w:t>
            </w:r>
          </w:p>
        </w:tc>
        <w:tc>
          <w:tcPr>
            <w:tcW w:w="4032" w:type="dxa"/>
            <w:vAlign w:val="center"/>
          </w:tcPr>
          <w:p>
            <w:pPr>
              <w:pStyle w:val="TableBody"/>
            </w:pPr>
            <w:r>
              <w:t>http://192.168.56.15:30900</w:t>
            </w:r>
          </w:p>
        </w:tc>
        <w:tc>
          <w:tcPr>
            <w:tcW w:w="3024" w:type="dxa"/>
            <w:vAlign w:val="center"/>
          </w:tcPr>
          <w:p>
            <w:pPr>
              <w:pStyle w:val="TableBody"/>
            </w:pPr>
            <w:r>
              <w:t>Edición visual de expedientes.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Portainer</w:t>
            </w:r>
          </w:p>
        </w:tc>
        <w:tc>
          <w:tcPr>
            <w:tcW w:w="4032" w:type="dxa"/>
            <w:vAlign w:val="center"/>
          </w:tcPr>
          <w:p>
            <w:pPr>
              <w:pStyle w:val="TableBody"/>
            </w:pPr>
            <w:r>
              <w:t>https://192.168.56.15:30779</w:t>
            </w:r>
          </w:p>
        </w:tc>
        <w:tc>
          <w:tcPr>
            <w:tcW w:w="3024" w:type="dxa"/>
            <w:vAlign w:val="center"/>
          </w:tcPr>
          <w:p>
            <w:pPr>
              <w:pStyle w:val="TableBody"/>
            </w:pPr>
            <w:r>
              <w:t>Inspección Kubernetes.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NiFi</w:t>
            </w:r>
          </w:p>
        </w:tc>
        <w:tc>
          <w:tcPr>
            <w:tcW w:w="4032" w:type="dxa"/>
            <w:vAlign w:val="center"/>
          </w:tcPr>
          <w:p>
            <w:pPr>
              <w:pStyle w:val="TableBody"/>
            </w:pPr>
            <w:r>
              <w:t>https://localhost:8443/nifi/</w:t>
            </w:r>
          </w:p>
        </w:tc>
        <w:tc>
          <w:tcPr>
            <w:tcW w:w="3024" w:type="dxa"/>
            <w:vAlign w:val="center"/>
          </w:tcPr>
          <w:p>
            <w:pPr>
              <w:pStyle w:val="TableBody"/>
            </w:pPr>
            <w:r>
              <w:t>Acceso recomendado por port-forward.</w:t>
            </w:r>
          </w:p>
        </w:tc>
      </w:tr>
    </w:tbl>
    <w:p>
      <w:pPr>
        <w:pStyle w:val="Small"/>
      </w:pPr>
    </w:p>
    <w:p>
      <w:pPr>
        <w:pStyle w:val="Body"/>
      </w:pPr>
      <w:r>
        <w:t>Túnel recomendado para navegador:</w:t>
      </w:r>
    </w:p>
    <w:p>
      <w:pPr>
        <w:pStyle w:val="CodeBlock"/>
      </w:pPr>
      <w:r>
        <w:t>ssh -L 30080:127.0.0.1:30080 dietpi@192.168.56.15</w:t>
      </w:r>
    </w:p>
    <w:p>
      <w:pPr>
        <w:pStyle w:val="Heading1"/>
        <w:keepNext/>
      </w:pPr>
      <w:bookmarkStart w:id="8" w:name="sec_bases"/>
      <w:r>
        <w:t>7. Bases de datos</w:t>
      </w:r>
      <w:bookmarkEnd w:id="8"/>
    </w:p>
    <w:tbl>
      <w:tblPr>
        <w:tblW w:w="9360" w:type="dxa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Borders>
          <w:top w:val="single" w:sz="4" w:color="D6D0C6"/>
          <w:left w:val="single" w:sz="4" w:color="D6D0C6"/>
          <w:bottom w:val="single" w:sz="4" w:color="D6D0C6"/>
          <w:right w:val="single" w:sz="4" w:color="D6D0C6"/>
          <w:insideH w:val="single" w:sz="4" w:color="D6D0C6"/>
          <w:insideV w:val="single" w:sz="4" w:color="D6D0C6"/>
        </w:tblBorders>
      </w:tblPr>
      <w:tblGrid>
        <w:gridCol w:w="2304"/>
        <w:gridCol w:w="2016"/>
        <w:gridCol w:w="5040"/>
      </w:tblGrid>
      <w:tr>
        <w:trPr>
          <w:tblHeader/>
        </w:trPr>
        <w:tc>
          <w:tcPr>
            <w:tcW w:w="2304" w:type="dxa"/>
            <w:shd w:fill="E9E3D7"/>
            <w:vAlign w:val="center"/>
          </w:tcPr>
          <w:p>
            <w:pPr>
              <w:pStyle w:val="TableHeader"/>
            </w:pPr>
            <w:r>
              <w:t>Base</w:t>
            </w:r>
          </w:p>
        </w:tc>
        <w:tc>
          <w:tcPr>
            <w:tcW w:w="2016" w:type="dxa"/>
            <w:shd w:fill="E9E3D7"/>
            <w:vAlign w:val="center"/>
          </w:tcPr>
          <w:p>
            <w:pPr>
              <w:pStyle w:val="TableHeader"/>
            </w:pPr>
            <w:r>
              <w:t>Namespace</w:t>
            </w:r>
          </w:p>
        </w:tc>
        <w:tc>
          <w:tcPr>
            <w:tcW w:w="5040" w:type="dxa"/>
            <w:shd w:fill="E9E3D7"/>
            <w:vAlign w:val="center"/>
          </w:tcPr>
          <w:p>
            <w:pPr>
              <w:pStyle w:val="TableHeader"/>
            </w:pPr>
            <w:r>
              <w:t>Función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keycloak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auth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Persistencia de Keycloak.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expedientes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verticales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 xml:space="preserve">Origen editable de expedientes; tabla principal </w:t>
            </w:r>
            <w:r>
              <w:rPr>
                <w:rStyle w:val="CodeChar"/>
              </w:rPr>
              <w:t>expedientes.admin_file</w:t>
            </w:r>
            <w:r>
              <w:t>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datalake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datalake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 xml:space="preserve">Datos consolidados expuestos por PostgREST; esquema </w:t>
            </w:r>
            <w:r>
              <w:rPr>
                <w:rStyle w:val="CodeChar"/>
              </w:rPr>
              <w:t>dena</w:t>
            </w:r>
            <w:r>
              <w:t>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datos_externos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datos-externos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Modelo DENA semántico enriquecido, trazabilidad y datos demo.</w:t>
            </w:r>
          </w:p>
        </w:tc>
      </w:tr>
      <w:tr>
        <w:tc>
          <w:tcPr>
            <w:tcW w:w="2304" w:type="dxa"/>
            <w:vAlign w:val="center"/>
          </w:tcPr>
          <w:p>
            <w:pPr>
              <w:pStyle w:val="TableBody"/>
            </w:pPr>
            <w:r>
              <w:t>mathesar_django</w:t>
            </w:r>
          </w:p>
        </w:tc>
        <w:tc>
          <w:tcPr>
            <w:tcW w:w="2016" w:type="dxa"/>
            <w:vAlign w:val="center"/>
          </w:tcPr>
          <w:p>
            <w:pPr>
              <w:pStyle w:val="TableBody"/>
            </w:pPr>
            <w:r>
              <w:t>verticales</w:t>
            </w:r>
          </w:p>
        </w:tc>
        <w:tc>
          <w:tcPr>
            <w:tcW w:w="5040" w:type="dxa"/>
            <w:vAlign w:val="center"/>
          </w:tcPr>
          <w:p>
            <w:pPr>
              <w:pStyle w:val="TableBody"/>
            </w:pPr>
            <w:r>
              <w:t>Base interna de Mathesar.</w:t>
            </w:r>
          </w:p>
        </w:tc>
      </w:tr>
    </w:tbl>
    <w:p>
      <w:pPr>
        <w:pStyle w:val="Small"/>
      </w:pPr>
    </w:p>
    <w:p>
      <w:pPr>
        <w:pStyle w:val="Body"/>
      </w:pPr>
      <w:r>
        <w:t>Tablas/funciones clave:</w:t>
      </w:r>
    </w:p>
    <w:p>
      <w:pPr>
        <w:pStyle w:val="Bullet"/>
        <w:numPr>
          <w:ilvl w:val="0"/>
          <w:numId w:val="1"/>
        </w:numPr>
      </w:pPr>
      <w:r>
        <w:rPr>
          <w:rStyle w:val="CodeChar"/>
        </w:rPr>
        <w:t>dena.admin_file</w:t>
      </w:r>
      <w:r>
        <w:t>: expedientes consolidados.</w:t>
      </w:r>
    </w:p>
    <w:p>
      <w:pPr>
        <w:pStyle w:val="Bullet"/>
        <w:numPr>
          <w:ilvl w:val="0"/>
          <w:numId w:val="1"/>
        </w:numPr>
      </w:pPr>
      <w:r>
        <w:rPr>
          <w:rStyle w:val="CodeChar"/>
        </w:rPr>
        <w:t>public.dena_data_retrieve(...)</w:t>
      </w:r>
      <w:r>
        <w:t xml:space="preserve">: RPC consumida por </w:t>
      </w:r>
      <w:r>
        <w:rPr>
          <w:rStyle w:val="CodeChar"/>
        </w:rPr>
        <w:t>/dena/admin-files</w:t>
      </w:r>
      <w:r>
        <w:t>.</w:t>
      </w:r>
    </w:p>
    <w:p>
      <w:pPr>
        <w:pStyle w:val="Bullet"/>
        <w:numPr>
          <w:ilvl w:val="0"/>
          <w:numId w:val="1"/>
        </w:numPr>
      </w:pPr>
      <w:r>
        <w:rPr>
          <w:rStyle w:val="CodeChar"/>
        </w:rPr>
        <w:t>dena.admin_file_staging</w:t>
      </w:r>
      <w:r>
        <w:t>: entrada de cargas y sincronización.</w:t>
      </w:r>
    </w:p>
    <w:p>
      <w:pPr>
        <w:pStyle w:val="Bullet"/>
        <w:numPr>
          <w:ilvl w:val="0"/>
          <w:numId w:val="1"/>
        </w:numPr>
      </w:pPr>
      <w:r>
        <w:rPr>
          <w:rStyle w:val="CodeChar"/>
        </w:rPr>
        <w:t>dena.dena_staging_to_main()</w:t>
      </w:r>
      <w:r>
        <w:t>: promoción de staging a tabla principal.</w:t>
      </w:r>
    </w:p>
    <w:p>
      <w:pPr>
        <w:pStyle w:val="Bullet"/>
        <w:numPr>
          <w:ilvl w:val="0"/>
          <w:numId w:val="1"/>
        </w:numPr>
      </w:pPr>
      <w:r>
        <w:rPr>
          <w:rStyle w:val="CodeChar"/>
        </w:rPr>
        <w:t>dena.dena_expediente</w:t>
      </w:r>
      <w:r>
        <w:t xml:space="preserve"> y </w:t>
      </w:r>
      <w:r>
        <w:rPr>
          <w:rStyle w:val="CodeChar"/>
        </w:rPr>
        <w:t>dena.dena_business_object</w:t>
      </w:r>
      <w:r>
        <w:t>: modelo normalizado de datos externos.</w:t>
      </w:r>
    </w:p>
    <w:p>
      <w:pPr>
        <w:pStyle w:val="Heading1"/>
        <w:keepNext/>
      </w:pPr>
      <w:bookmarkStart w:id="9" w:name="sec_operacion"/>
      <w:r>
        <w:t>8. Despliegue y operación</w:t>
      </w:r>
      <w:bookmarkEnd w:id="9"/>
    </w:p>
    <w:p>
      <w:pPr>
        <w:pStyle w:val="Heading2"/>
      </w:pPr>
      <w:r>
        <w:t>Instalación rápida en VM nueva:</w:t>
      </w:r>
    </w:p>
    <w:p>
      <w:pPr>
        <w:pStyle w:val="CodeBlock"/>
      </w:pPr>
      <w:r>
        <w:t>curl -fsSL https://raw.githubusercontent.com/alvaroogaarcia-git/dena-interop/main/scripts/bootstrap-demo.sh | sudo bash</w:t>
      </w:r>
    </w:p>
    <w:p>
      <w:pPr>
        <w:pStyle w:val="Heading2"/>
      </w:pPr>
      <w:r>
        <w:t>Operación diaria:</w:t>
      </w:r>
    </w:p>
    <w:p>
      <w:pPr>
        <w:pStyle w:val="CodeBlock"/>
      </w:pPr>
      <w:r>
        <w:t>cd /home/dietpi/dena-interop</w:t>
      </w:r>
    </w:p>
    <w:p>
      <w:pPr>
        <w:pStyle w:val="CodeBlock"/>
      </w:pPr>
      <w:r>
        <w:t>export KUBECONFIG=/home/dietpi/.kube/dena-config</w:t>
      </w:r>
    </w:p>
    <w:p>
      <w:pPr>
        <w:pStyle w:val="CodeBlock"/>
      </w:pPr>
      <w:r>
        <w:t>bash scripts/wait-ready.sh</w:t>
      </w:r>
    </w:p>
    <w:p>
      <w:pPr>
        <w:pStyle w:val="CodeBlock"/>
      </w:pPr>
      <w:r>
        <w:t>bash scripts/verify-stack.sh</w:t>
      </w:r>
    </w:p>
    <w:p>
      <w:pPr>
        <w:pStyle w:val="Heading2"/>
      </w:pPr>
      <w:r>
        <w:t>Scripts importantes:</w:t>
      </w:r>
    </w:p>
    <w:tbl>
      <w:tblPr>
        <w:tblW w:w="9360" w:type="dxa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Borders>
          <w:top w:val="single" w:sz="4" w:color="D6D0C6"/>
          <w:left w:val="single" w:sz="4" w:color="D6D0C6"/>
          <w:bottom w:val="single" w:sz="4" w:color="D6D0C6"/>
          <w:right w:val="single" w:sz="4" w:color="D6D0C6"/>
          <w:insideH w:val="single" w:sz="4" w:color="D6D0C6"/>
          <w:insideV w:val="single" w:sz="4" w:color="D6D0C6"/>
        </w:tblBorders>
      </w:tblPr>
      <w:tblGrid>
        <w:gridCol w:w="3744"/>
        <w:gridCol w:w="5616"/>
      </w:tblGrid>
      <w:tr>
        <w:trPr>
          <w:tblHeader/>
        </w:trPr>
        <w:tc>
          <w:tcPr>
            <w:tcW w:w="3744" w:type="dxa"/>
            <w:shd w:fill="E9E3D7"/>
            <w:vAlign w:val="center"/>
          </w:tcPr>
          <w:p>
            <w:pPr>
              <w:pStyle w:val="TableHeader"/>
            </w:pPr>
            <w:r>
              <w:t>Script</w:t>
            </w:r>
          </w:p>
        </w:tc>
        <w:tc>
          <w:tcPr>
            <w:tcW w:w="5616" w:type="dxa"/>
            <w:shd w:fill="E9E3D7"/>
            <w:vAlign w:val="center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744" w:type="dxa"/>
            <w:vAlign w:val="center"/>
          </w:tcPr>
          <w:p>
            <w:pPr>
              <w:pStyle w:val="TableBody"/>
            </w:pPr>
            <w:r>
              <w:t>scripts/bootstrap-demo.sh</w:t>
            </w:r>
          </w:p>
        </w:tc>
        <w:tc>
          <w:tcPr>
            <w:tcW w:w="5616" w:type="dxa"/>
            <w:vAlign w:val="center"/>
          </w:tcPr>
          <w:p>
            <w:pPr>
              <w:pStyle w:val="TableBody"/>
            </w:pPr>
            <w:r>
              <w:t>Instala la demo completa en una VM nueva.</w:t>
            </w:r>
          </w:p>
        </w:tc>
      </w:tr>
      <w:tr>
        <w:tc>
          <w:tcPr>
            <w:tcW w:w="3744" w:type="dxa"/>
            <w:vAlign w:val="center"/>
          </w:tcPr>
          <w:p>
            <w:pPr>
              <w:pStyle w:val="TableBody"/>
            </w:pPr>
            <w:r>
              <w:t>scripts/wait-ready.sh</w:t>
            </w:r>
          </w:p>
        </w:tc>
        <w:tc>
          <w:tcPr>
            <w:tcW w:w="5616" w:type="dxa"/>
            <w:vAlign w:val="center"/>
          </w:tcPr>
          <w:p>
            <w:pPr>
              <w:pStyle w:val="TableBody"/>
            </w:pPr>
            <w:r>
              <w:t>Espera a que los servicios estén listos.</w:t>
            </w:r>
          </w:p>
        </w:tc>
      </w:tr>
      <w:tr>
        <w:tc>
          <w:tcPr>
            <w:tcW w:w="3744" w:type="dxa"/>
            <w:vAlign w:val="center"/>
          </w:tcPr>
          <w:p>
            <w:pPr>
              <w:pStyle w:val="TableBody"/>
            </w:pPr>
            <w:r>
              <w:t>scripts/verify-stack.sh</w:t>
            </w:r>
          </w:p>
        </w:tc>
        <w:tc>
          <w:tcPr>
            <w:tcW w:w="5616" w:type="dxa"/>
            <w:vAlign w:val="center"/>
          </w:tcPr>
          <w:p>
            <w:pPr>
              <w:pStyle w:val="TableBody"/>
            </w:pPr>
            <w:r>
              <w:t>Verificación end-to-end.</w:t>
            </w:r>
          </w:p>
        </w:tc>
      </w:tr>
      <w:tr>
        <w:tc>
          <w:tcPr>
            <w:tcW w:w="3744" w:type="dxa"/>
            <w:vAlign w:val="center"/>
          </w:tcPr>
          <w:p>
            <w:pPr>
              <w:pStyle w:val="TableBody"/>
            </w:pPr>
            <w:r>
              <w:t>scripts/dena/apply-route.sh</w:t>
            </w:r>
          </w:p>
        </w:tc>
        <w:tc>
          <w:tcPr>
            <w:tcW w:w="5616" w:type="dxa"/>
            <w:vAlign w:val="center"/>
          </w:tcPr>
          <w:p>
            <w:pPr>
              <w:pStyle w:val="TableBody"/>
            </w:pPr>
            <w:r>
              <w:t>Publica rutas APISIX.</w:t>
            </w:r>
          </w:p>
        </w:tc>
      </w:tr>
      <w:tr>
        <w:tc>
          <w:tcPr>
            <w:tcW w:w="3744" w:type="dxa"/>
            <w:vAlign w:val="center"/>
          </w:tcPr>
          <w:p>
            <w:pPr>
              <w:pStyle w:val="TableBody"/>
            </w:pPr>
            <w:r>
              <w:t>scripts/dena/apply-fase12-keycloak.sh</w:t>
            </w:r>
          </w:p>
        </w:tc>
        <w:tc>
          <w:tcPr>
            <w:tcW w:w="5616" w:type="dxa"/>
            <w:vAlign w:val="center"/>
          </w:tcPr>
          <w:p>
            <w:pPr>
              <w:pStyle w:val="TableBody"/>
            </w:pPr>
            <w:r>
              <w:t>Aplica configuración Keycloak con Terraform.</w:t>
            </w:r>
          </w:p>
        </w:tc>
      </w:tr>
      <w:tr>
        <w:tc>
          <w:tcPr>
            <w:tcW w:w="3744" w:type="dxa"/>
            <w:vAlign w:val="center"/>
          </w:tcPr>
          <w:p>
            <w:pPr>
              <w:pStyle w:val="TableBody"/>
            </w:pPr>
            <w:r>
              <w:t>scripts/dena/apply-fase14-grafana.sh</w:t>
            </w:r>
          </w:p>
        </w:tc>
        <w:tc>
          <w:tcPr>
            <w:tcW w:w="5616" w:type="dxa"/>
            <w:vAlign w:val="center"/>
          </w:tcPr>
          <w:p>
            <w:pPr>
              <w:pStyle w:val="TableBody"/>
            </w:pPr>
            <w:r>
              <w:t>Aplica datasources y dashboards Grafana.</w:t>
            </w:r>
          </w:p>
        </w:tc>
      </w:tr>
      <w:tr>
        <w:tc>
          <w:tcPr>
            <w:tcW w:w="3744" w:type="dxa"/>
            <w:vAlign w:val="center"/>
          </w:tcPr>
          <w:p>
            <w:pPr>
              <w:pStyle w:val="TableBody"/>
            </w:pPr>
            <w:r>
              <w:t>scripts/dena/provision-fase15-nifi.sh</w:t>
            </w:r>
          </w:p>
        </w:tc>
        <w:tc>
          <w:tcPr>
            <w:tcW w:w="5616" w:type="dxa"/>
            <w:vAlign w:val="center"/>
          </w:tcPr>
          <w:p>
            <w:pPr>
              <w:pStyle w:val="TableBody"/>
            </w:pPr>
            <w:r>
              <w:t>Crea flujo NiFi hacia datalake.</w:t>
            </w:r>
          </w:p>
        </w:tc>
      </w:tr>
      <w:tr>
        <w:tc>
          <w:tcPr>
            <w:tcW w:w="3744" w:type="dxa"/>
            <w:vAlign w:val="center"/>
          </w:tcPr>
          <w:p>
            <w:pPr>
              <w:pStyle w:val="TableBody"/>
            </w:pPr>
            <w:r>
              <w:t>scripts/dena/provision-fase20-datos-externos-nifi.sh</w:t>
            </w:r>
          </w:p>
        </w:tc>
        <w:tc>
          <w:tcPr>
            <w:tcW w:w="5616" w:type="dxa"/>
            <w:vAlign w:val="center"/>
          </w:tcPr>
          <w:p>
            <w:pPr>
              <w:pStyle w:val="TableBody"/>
            </w:pPr>
            <w:r>
              <w:t>Crea flujo NiFi hacia datos externos.</w:t>
            </w:r>
          </w:p>
        </w:tc>
      </w:tr>
    </w:tbl>
    <w:p>
      <w:pPr>
        <w:pStyle w:val="Small"/>
      </w:pPr>
    </w:p>
    <w:p>
      <w:pPr>
        <w:pStyle w:val="Heading1"/>
        <w:keepNext/>
      </w:pPr>
      <w:bookmarkStart w:id="10" w:name="sec_verificacion"/>
      <w:r>
        <w:t>9. Verificación rápida</w:t>
      </w:r>
      <w:bookmarkEnd w:id="10"/>
    </w:p>
    <w:p>
      <w:pPr>
        <w:pStyle w:val="Body"/>
      </w:pPr>
      <w:r>
        <w:t>Comandos mínimos para saber si el entorno está sano:</w:t>
      </w:r>
    </w:p>
    <w:p>
      <w:pPr>
        <w:pStyle w:val="CodeBlock"/>
      </w:pPr>
      <w:r>
        <w:t>kubectl get nodes -o wide</w:t>
      </w:r>
    </w:p>
    <w:p>
      <w:pPr>
        <w:pStyle w:val="CodeBlock"/>
      </w:pPr>
      <w:r>
        <w:t>helm list -A</w:t>
      </w:r>
    </w:p>
    <w:p>
      <w:pPr>
        <w:pStyle w:val="CodeBlock"/>
      </w:pPr>
      <w:r>
        <w:t>kubectl get pods,svc,pvc -A</w:t>
      </w:r>
    </w:p>
    <w:p>
      <w:pPr>
        <w:pStyle w:val="CodeBlock"/>
      </w:pPr>
      <w:r>
        <w:t>bash scripts/verify-stack.sh</w:t>
      </w:r>
    </w:p>
    <w:p>
      <w:pPr>
        <w:pStyle w:val="Body"/>
      </w:pPr>
      <w:r>
        <w:t>Pruebas funcionales clave:</w:t>
      </w:r>
    </w:p>
    <w:p>
      <w:pPr>
        <w:pStyle w:val="Bullet"/>
        <w:numPr>
          <w:ilvl w:val="0"/>
          <w:numId w:val="1"/>
        </w:numPr>
      </w:pPr>
      <w:r>
        <w:rPr>
          <w:rStyle w:val="CodeChar"/>
        </w:rPr>
        <w:t>curl -i http://192.168.56.15:30080/api</w:t>
      </w:r>
      <w:r>
        <w:t xml:space="preserve"> debe devolver </w:t>
      </w:r>
      <w:r>
        <w:rPr>
          <w:rStyle w:val="CodeChar"/>
        </w:rPr>
        <w:t>401 Unauthorized</w:t>
      </w:r>
      <w:r>
        <w:t xml:space="preserve"> sin token.</w:t>
      </w:r>
    </w:p>
    <w:p>
      <w:pPr>
        <w:pStyle w:val="Bullet"/>
        <w:numPr>
          <w:ilvl w:val="0"/>
          <w:numId w:val="1"/>
        </w:numPr>
      </w:pPr>
      <w:r>
        <w:rPr>
          <w:rStyle w:val="CodeChar"/>
        </w:rPr>
        <w:t>scripts/verify-fase13.sh</w:t>
      </w:r>
      <w:r>
        <w:t xml:space="preserve"> valida OIDC, APISIX y API DENA.</w:t>
      </w:r>
    </w:p>
    <w:p>
      <w:pPr>
        <w:pStyle w:val="Bullet"/>
        <w:numPr>
          <w:ilvl w:val="0"/>
          <w:numId w:val="1"/>
        </w:numPr>
      </w:pPr>
      <w:r>
        <w:rPr>
          <w:rStyle w:val="CodeChar"/>
        </w:rPr>
        <w:t>scripts/verify-fase15-nifi.sh</w:t>
      </w:r>
      <w:r>
        <w:t xml:space="preserve"> valida sincronización verticales -&gt; datalake.</w:t>
      </w:r>
    </w:p>
    <w:p>
      <w:pPr>
        <w:pStyle w:val="Bullet"/>
        <w:numPr>
          <w:ilvl w:val="0"/>
          <w:numId w:val="1"/>
        </w:numPr>
      </w:pPr>
      <w:r>
        <w:rPr>
          <w:rStyle w:val="CodeChar"/>
        </w:rPr>
        <w:t>scripts/verify-fase19-datos-externos.sh</w:t>
      </w:r>
      <w:r>
        <w:t xml:space="preserve"> valida el modelo de datos externos.</w:t>
      </w:r>
    </w:p>
    <w:p>
      <w:pPr>
        <w:pStyle w:val="Bullet"/>
        <w:numPr>
          <w:ilvl w:val="0"/>
          <w:numId w:val="1"/>
        </w:numPr>
      </w:pPr>
      <w:r>
        <w:rPr>
          <w:rStyle w:val="CodeChar"/>
        </w:rPr>
        <w:t>scripts/verify-fase20-datos-externos-nifi.sh</w:t>
      </w:r>
      <w:r>
        <w:t xml:space="preserve"> valida sincronización hacia datos externos.</w:t>
      </w:r>
    </w:p>
    <w:p>
      <w:pPr>
        <w:pStyle w:val="Heading1"/>
        <w:keepNext/>
      </w:pPr>
      <w:bookmarkStart w:id="11" w:name="sec_riesgos"/>
      <w:r>
        <w:t>10. Riesgos y decisiones pendientes</w:t>
      </w:r>
      <w:bookmarkEnd w:id="11"/>
    </w:p>
    <w:tbl>
      <w:tblPr>
        <w:tblW w:w="9360" w:type="dxa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Borders>
          <w:top w:val="single" w:sz="4" w:color="D6D0C6"/>
          <w:left w:val="single" w:sz="4" w:color="D6D0C6"/>
          <w:bottom w:val="single" w:sz="4" w:color="D6D0C6"/>
          <w:right w:val="single" w:sz="4" w:color="D6D0C6"/>
          <w:insideH w:val="single" w:sz="4" w:color="D6D0C6"/>
          <w:insideV w:val="single" w:sz="4" w:color="D6D0C6"/>
        </w:tblBorders>
      </w:tblPr>
      <w:tblGrid>
        <w:gridCol w:w="2016"/>
        <w:gridCol w:w="3600"/>
        <w:gridCol w:w="3744"/>
      </w:tblGrid>
      <w:tr>
        <w:trPr>
          <w:tblHeader/>
        </w:trPr>
        <w:tc>
          <w:tcPr>
            <w:tcW w:w="2016" w:type="dxa"/>
            <w:shd w:fill="E9E3D7"/>
            <w:vAlign w:val="center"/>
          </w:tcPr>
          <w:p>
            <w:pPr>
              <w:pStyle w:val="TableHeader"/>
            </w:pPr>
            <w:r>
              <w:t>Tema</w:t>
            </w:r>
          </w:p>
        </w:tc>
        <w:tc>
          <w:tcPr>
            <w:tcW w:w="3600" w:type="dxa"/>
            <w:shd w:fill="E9E3D7"/>
            <w:vAlign w:val="center"/>
          </w:tcPr>
          <w:p>
            <w:pPr>
              <w:pStyle w:val="TableHeader"/>
            </w:pPr>
            <w:r>
              <w:t>Situación</w:t>
            </w:r>
          </w:p>
        </w:tc>
        <w:tc>
          <w:tcPr>
            <w:tcW w:w="3744" w:type="dxa"/>
            <w:shd w:fill="E9E3D7"/>
            <w:vAlign w:val="center"/>
          </w:tcPr>
          <w:p>
            <w:pPr>
              <w:pStyle w:val="TableHeader"/>
            </w:pPr>
            <w:r>
              <w:t>Decisión recomendada</w:t>
            </w:r>
          </w:p>
        </w:tc>
      </w:tr>
      <w:tr>
        <w:tc>
          <w:tcPr>
            <w:tcW w:w="2016" w:type="dxa"/>
            <w:vAlign w:val="center"/>
          </w:tcPr>
          <w:p>
            <w:pPr>
              <w:pStyle w:val="TableBody"/>
            </w:pPr>
            <w:r>
              <w:t>Credenciales demo</w:t>
            </w:r>
          </w:p>
        </w:tc>
        <w:tc>
          <w:tcPr>
            <w:tcW w:w="3600" w:type="dxa"/>
            <w:vAlign w:val="center"/>
          </w:tcPr>
          <w:p>
            <w:pPr>
              <w:pStyle w:val="TableBody"/>
            </w:pPr>
            <w:r>
              <w:t>Hay passwords de laboratorio documentadas.</w:t>
            </w:r>
          </w:p>
        </w:tc>
        <w:tc>
          <w:tcPr>
            <w:tcW w:w="3744" w:type="dxa"/>
            <w:vAlign w:val="center"/>
          </w:tcPr>
          <w:p>
            <w:pPr>
              <w:pStyle w:val="TableBody"/>
            </w:pPr>
            <w:r>
              <w:t>Rotarlas fuera de demo.</w:t>
            </w:r>
          </w:p>
        </w:tc>
      </w:tr>
      <w:tr>
        <w:tc>
          <w:tcPr>
            <w:tcW w:w="2016" w:type="dxa"/>
            <w:vAlign w:val="center"/>
          </w:tcPr>
          <w:p>
            <w:pPr>
              <w:pStyle w:val="TableBody"/>
            </w:pPr>
            <w:r>
              <w:t>TLS</w:t>
            </w:r>
          </w:p>
        </w:tc>
        <w:tc>
          <w:tcPr>
            <w:tcW w:w="3600" w:type="dxa"/>
            <w:vAlign w:val="center"/>
          </w:tcPr>
          <w:p>
            <w:pPr>
              <w:pStyle w:val="TableBody"/>
            </w:pPr>
            <w:r>
              <w:t>El entorno usa HTTP/local para simplificar OIDC.</w:t>
            </w:r>
          </w:p>
        </w:tc>
        <w:tc>
          <w:tcPr>
            <w:tcW w:w="3744" w:type="dxa"/>
            <w:vAlign w:val="center"/>
          </w:tcPr>
          <w:p>
            <w:pPr>
              <w:pStyle w:val="TableBody"/>
            </w:pPr>
            <w:r>
              <w:t>TLS real en producción.</w:t>
            </w:r>
          </w:p>
        </w:tc>
      </w:tr>
      <w:tr>
        <w:tc>
          <w:tcPr>
            <w:tcW w:w="2016" w:type="dxa"/>
            <w:vAlign w:val="center"/>
          </w:tcPr>
          <w:p>
            <w:pPr>
              <w:pStyle w:val="TableBody"/>
            </w:pPr>
            <w:r>
              <w:t>Nodo único</w:t>
            </w:r>
          </w:p>
        </w:tc>
        <w:tc>
          <w:tcPr>
            <w:tcW w:w="3600" w:type="dxa"/>
            <w:vAlign w:val="center"/>
          </w:tcPr>
          <w:p>
            <w:pPr>
              <w:pStyle w:val="TableBody"/>
            </w:pPr>
            <w:r>
              <w:t>No hay alta disponibilidad.</w:t>
            </w:r>
          </w:p>
        </w:tc>
        <w:tc>
          <w:tcPr>
            <w:tcW w:w="3744" w:type="dxa"/>
            <w:vAlign w:val="center"/>
          </w:tcPr>
          <w:p>
            <w:pPr>
              <w:pStyle w:val="TableBody"/>
            </w:pPr>
            <w:r>
              <w:t>Rediseñar multi-nodo si pasa a producción.</w:t>
            </w:r>
          </w:p>
        </w:tc>
      </w:tr>
      <w:tr>
        <w:tc>
          <w:tcPr>
            <w:tcW w:w="2016" w:type="dxa"/>
            <w:vAlign w:val="center"/>
          </w:tcPr>
          <w:p>
            <w:pPr>
              <w:pStyle w:val="TableBody"/>
            </w:pPr>
            <w:r>
              <w:t>Portainer</w:t>
            </w:r>
          </w:p>
        </w:tc>
        <w:tc>
          <w:tcPr>
            <w:tcW w:w="3600" w:type="dxa"/>
            <w:vAlign w:val="center"/>
          </w:tcPr>
          <w:p>
            <w:pPr>
              <w:pStyle w:val="TableBody"/>
            </w:pPr>
            <w:r>
              <w:t>Usa permisos amplios.</w:t>
            </w:r>
          </w:p>
        </w:tc>
        <w:tc>
          <w:tcPr>
            <w:tcW w:w="3744" w:type="dxa"/>
            <w:vAlign w:val="center"/>
          </w:tcPr>
          <w:p>
            <w:pPr>
              <w:pStyle w:val="TableBody"/>
            </w:pPr>
            <w:r>
              <w:t>Limitar RBAC o retirar.</w:t>
            </w:r>
          </w:p>
        </w:tc>
      </w:tr>
      <w:tr>
        <w:tc>
          <w:tcPr>
            <w:tcW w:w="2016" w:type="dxa"/>
            <w:vAlign w:val="center"/>
          </w:tcPr>
          <w:p>
            <w:pPr>
              <w:pStyle w:val="TableBody"/>
            </w:pPr>
            <w:r>
              <w:t>Terraform state</w:t>
            </w:r>
          </w:p>
        </w:tc>
        <w:tc>
          <w:tcPr>
            <w:tcW w:w="3600" w:type="dxa"/>
            <w:vAlign w:val="center"/>
          </w:tcPr>
          <w:p>
            <w:pPr>
              <w:pStyle w:val="TableBody"/>
            </w:pPr>
            <w:r>
              <w:t>Puede contener secretos.</w:t>
            </w:r>
          </w:p>
        </w:tc>
        <w:tc>
          <w:tcPr>
            <w:tcW w:w="3744" w:type="dxa"/>
            <w:vAlign w:val="center"/>
          </w:tcPr>
          <w:p>
            <w:pPr>
              <w:pStyle w:val="TableBody"/>
            </w:pPr>
            <w:r>
              <w:t>Proteger y no versionar.</w:t>
            </w:r>
          </w:p>
        </w:tc>
      </w:tr>
      <w:tr>
        <w:tc>
          <w:tcPr>
            <w:tcW w:w="2016" w:type="dxa"/>
            <w:vAlign w:val="center"/>
          </w:tcPr>
          <w:p>
            <w:pPr>
              <w:pStyle w:val="TableBody"/>
            </w:pPr>
            <w:r>
              <w:t>Observabilidad app</w:t>
            </w:r>
          </w:p>
        </w:tc>
        <w:tc>
          <w:tcPr>
            <w:tcW w:w="3600" w:type="dxa"/>
            <w:vAlign w:val="center"/>
          </w:tcPr>
          <w:p>
            <w:pPr>
              <w:pStyle w:val="TableBody"/>
            </w:pPr>
            <w:r>
              <w:t>APISIX/NiFi/PostgREST no tienen instrumentación profunda.</w:t>
            </w:r>
          </w:p>
        </w:tc>
        <w:tc>
          <w:tcPr>
            <w:tcW w:w="3744" w:type="dxa"/>
            <w:vAlign w:val="center"/>
          </w:tcPr>
          <w:p>
            <w:pPr>
              <w:pStyle w:val="TableBody"/>
            </w:pPr>
            <w:r>
              <w:t>Añadir fase específica si se necesita.</w:t>
            </w:r>
          </w:p>
        </w:tc>
      </w:tr>
    </w:tbl>
    <w:p>
      <w:pPr>
        <w:pStyle w:val="Small"/>
      </w:pPr>
    </w:p>
    <w:p>
      <w:pPr>
        <w:pStyle w:val="Heading1"/>
      </w:pPr>
      <w:bookmarkStart w:id="12" w:name="sec_resumen"/>
      <w:r>
        <w:t>Resumen final</w:t>
      </w:r>
      <w:bookmarkEnd w:id="12"/>
    </w:p>
    <w:p>
      <w:pPr>
        <w:pStyle w:val="Lead"/>
      </w:pPr>
      <w:r>
        <w:t>El proyecto demuestra una arquitectura DENA completa en local: gateway único, identidad OIDC, APIs sobre PostgreSQL, sincronización incremental, administración funcional y observabilidad. Para entenderlo no hace falta memorizar todos los ficheros; basta con seguir el hilo: entrada por APISIX, autenticación con Keycloak, datos en PostgreSQL, API con PostgREST, sincronización con NiFi y operación con Grafana/Portainer.</w:t>
      </w:r>
    </w:p>
    <w:sectPr>
      <w:pgSz w:w="12240" w:h="15840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?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1F2326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rPr>
      <w:rFonts w:ascii="Aptos" w:hAnsi="Aptos"/>
      <w:sz w:val="22"/>
      <w:color w:val="1F2326"/>
    </w:rPr>
    <w:pPr>
      <w:spacing w:after="120" w:line="288" w:lineRule="auto"/>
    </w:pPr>
  </w:style>
  <w:style w:type="paragraph" w:styleId="Title">
    <w:name w:val="Title"/>
    <w:qFormat/>
    <w:rPr>
      <w:rFonts w:ascii="Aptos Display" w:hAnsi="Aptos Display"/>
      <w:b/>
      <w:sz w:val="50"/>
      <w:color w:val="1E302B"/>
    </w:rPr>
    <w:pPr>
      <w:spacing w:after="80"/>
    </w:pPr>
  </w:style>
  <w:style w:type="paragraph" w:styleId="Subtitle">
    <w:name w:val="Subtitle"/>
    <w:rPr>
      <w:rFonts w:ascii="Aptos" w:hAnsi="Aptos"/>
      <w:sz w:val="26"/>
      <w:color w:val="66706A"/>
    </w:rPr>
    <w:pPr>
      <w:spacing w:after="240"/>
    </w:pPr>
  </w:style>
  <w:style w:type="paragraph" w:styleId="Lead">
    <w:name w:val="Lead"/>
    <w:rPr>
      <w:sz w:val="23"/>
      <w:color w:val="303633"/>
    </w:rPr>
    <w:pPr>
      <w:spacing w:before="80" w:after="180" w:line="310" w:lineRule="auto"/>
      <w:shd w:fill="F4F1EA"/>
      <w:ind w:left="180" w:right="180"/>
    </w:pPr>
  </w:style>
  <w:style w:type="paragraph" w:styleId="Body">
    <w:name w:val="Body"/>
    <w:basedOn w:val="Normal"/>
    <w:pPr>
      <w:spacing w:after="120" w:line="288" w:lineRule="auto"/>
    </w:pPr>
  </w:style>
  <w:style w:type="paragraph" w:styleId="Small">
    <w:name w:val="Small"/>
    <w:rPr>
      <w:sz w:val="18"/>
      <w:color w:val="666666"/>
    </w:rPr>
    <w:pPr>
      <w:spacing w:after="60"/>
    </w:pPr>
  </w:style>
  <w:style w:type="paragraph" w:styleId="Heading1">
    <w:name w:val="heading 1"/>
    <w:qFormat/>
    <w:rPr>
      <w:rFonts w:ascii="Aptos Display" w:hAnsi="Aptos Display"/>
      <w:b/>
      <w:sz w:val="32"/>
      <w:color w:val="2F5D50"/>
    </w:rPr>
    <w:pPr>
      <w:keepNext/>
      <w:spacing w:before="360" w:after="140"/>
    </w:pPr>
  </w:style>
  <w:style w:type="paragraph" w:styleId="Heading2">
    <w:name w:val="heading 2"/>
    <w:qFormat/>
    <w:rPr>
      <w:b/>
      <w:sz w:val="25"/>
      <w:color w:val="3C4944"/>
    </w:rPr>
    <w:pPr>
      <w:keepNext/>
      <w:spacing w:before="220" w:after="100"/>
    </w:pPr>
  </w:style>
  <w:style w:type="paragraph" w:styleId="Heading3">
    <w:name w:val="heading 3"/>
    <w:qFormat/>
    <w:rPr>
      <w:b/>
      <w:sz w:val="23"/>
      <w:color w:val="555F5A"/>
    </w:rPr>
    <w:pPr>
      <w:keepNext/>
      <w:spacing w:before="180" w:after="80"/>
    </w:pPr>
  </w:style>
  <w:style w:type="paragraph" w:styleId="Bullet">
    <w:name w:val="Bullet"/>
    <w:basedOn w:val="Body"/>
    <w:pPr>
      <w:spacing w:after="80" w:line="288" w:lineRule="auto"/>
    </w:pPr>
  </w:style>
  <w:style w:type="paragraph" w:styleId="CodeBlock">
    <w:name w:val="Code Block"/>
    <w:rPr>
      <w:rFonts w:ascii="Cascadia Mono" w:hAnsi="Cascadia Mono"/>
      <w:sz w:val="18"/>
      <w:color w:val="26312D"/>
    </w:rPr>
    <w:pPr>
      <w:spacing w:after="45" w:line="240" w:lineRule="auto"/>
      <w:shd w:fill="F4F1EA"/>
      <w:ind w:left="220" w:right="220"/>
    </w:pPr>
  </w:style>
  <w:style w:type="character" w:styleId="CodeChar">
    <w:name w:val="Code Char"/>
    <w:rPr>
      <w:rFonts w:ascii="Cascadia Mono" w:hAnsi="Cascadia Mono"/>
      <w:sz w:val="20"/>
      <w:color w:val="2F5D50"/>
    </w:rPr>
  </w:style>
  <w:style w:type="character" w:styleId="Hyperlink">
    <w:name w:val="Hyperlink"/>
    <w:rPr>
      <w:color w:val="2F5D50"/>
      <w:u w:val="single"/>
    </w:rPr>
  </w:style>
  <w:style w:type="paragraph" w:styleId="TocItem">
    <w:name w:val="TOC Item"/>
    <w:pPr>
      <w:spacing w:after="70"/>
      <w:ind w:left="240"/>
    </w:pPr>
    <w:rPr>
      <w:sz w:val="22"/>
    </w:rPr>
  </w:style>
  <w:style w:type="paragraph" w:styleId="TableHeader">
    <w:name w:val="Table Header"/>
    <w:rPr>
      <w:b/>
      <w:sz w:val="19"/>
      <w:color w:val="1E302B"/>
    </w:rPr>
    <w:pPr>
      <w:spacing w:after="40" w:line="260" w:lineRule="auto"/>
    </w:pPr>
  </w:style>
  <w:style w:type="paragraph" w:styleId="TableBody">
    <w:name w:val="Table Body"/>
    <w:rPr>
      <w:sz w:val="19"/>
      <w:color w:val="232827"/>
    </w:rPr>
    <w:pPr>
      <w:spacing w:after="40" w:line="26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Esquema ejecutivo DENA Interop</dc:title>
  <dc:creator/>
  <cp:lastModifiedBy/>
  <dcterms:created xsi:type="dcterms:W3CDTF">2026-07-13T07:16:43+00:00</dcterms:created>
  <dcterms:modified xsi:type="dcterms:W3CDTF">2026-07-13T07:16:43+00:00</dcterms:modified>
</cp:coreProperties>
</file>