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business REVIEW</w:t>
      </w:r>
    </w:p>
    <w:p>
      <w:r>
        <w:t>Revenue increased by 25 %  while margin improved by 3 %.</w:t>
      </w:r>
    </w:p>
    <w:p>
      <w:r>
        <w:t>The API response time improved, but API ownership remains unclear.</w:t>
      </w:r>
    </w:p>
    <w:p/>
    <w:p>
      <w:pPr>
        <w:pStyle w:val="Heading2"/>
      </w:pPr>
      <w:r>
        <w:t>Operating Model</w:t>
      </w:r>
    </w:p>
    <w:p>
      <w:pPr>
        <w:pStyle w:val="ListBullet"/>
      </w:pPr>
      <w:r>
        <w:t>Reduce operating costs</w:t>
      </w:r>
    </w:p>
    <w:p>
      <w:pPr>
        <w:pStyle w:val="ListBullet"/>
      </w:pPr>
      <w:r>
        <w:t>Improve customer retention.</w:t>
      </w:r>
    </w:p>
    <w:p>
      <w:r>
        <w:t>1. Manual numbered item without punctuation</w:t>
      </w:r>
    </w:p>
    <w:p>
      <w:r>
        <w:t>A) Manual lettered item.</w:t>
      </w:r>
    </w:p>
    <w:p>
      <w:pPr>
        <w:pStyle w:val="Heading2"/>
      </w:pPr>
      <w:r>
        <w:t>Defined Terms</w:t>
      </w:r>
    </w:p>
    <w:p>
      <w:r>
        <w:t>Application Programming Interface (API) guidance is available.</w:t>
      </w:r>
    </w:p>
    <w:p>
      <w:r>
        <w:t>The API glossary entry should not create a new acronym finding.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