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8C72B" w14:textId="77777777" w:rsidR="002479D6" w:rsidRPr="00114E96" w:rsidRDefault="00000000">
      <w:pPr>
        <w:pStyle w:val="Ttulo1"/>
        <w:rPr>
          <w:lang w:val="es-ES"/>
        </w:rPr>
      </w:pPr>
      <w:r w:rsidRPr="00114E96">
        <w:rPr>
          <w:lang w:val="es-ES"/>
        </w:rPr>
        <w:t>1. Introducción</w:t>
      </w:r>
    </w:p>
    <w:p w14:paraId="398D7771" w14:textId="26C376A8" w:rsidR="002479D6" w:rsidRPr="00114E96" w:rsidRDefault="00000000">
      <w:pPr>
        <w:rPr>
          <w:lang w:val="es-ES"/>
        </w:rPr>
      </w:pPr>
      <w:r w:rsidRPr="00114E96">
        <w:rPr>
          <w:lang w:val="es-ES"/>
        </w:rPr>
        <w:t>El credit scoring consiste en estimar la probabilidad de que un solicitante no atienda sus obligaciones de pago, y en usar esa estimación para conceder o denegar el crédito. El instrumento habitual ha sido durante décadas la regresión logística, elegida no por su rendimiento sino porque se puede leer entera</w:t>
      </w:r>
      <w:r w:rsidR="00CD4099">
        <w:rPr>
          <w:lang w:val="es-ES"/>
        </w:rPr>
        <w:t xml:space="preserve">: </w:t>
      </w:r>
      <w:r w:rsidRPr="00114E96">
        <w:rPr>
          <w:lang w:val="es-ES"/>
        </w:rPr>
        <w:t>la contribución de cada variable a la decisión sobre un cliente concreto es inmediata de calcular y de comunicar. Los ensembles de árboles la superan de forma sistemática en capacidad predictiva (</w:t>
      </w:r>
      <w:hyperlink r:id="rId6">
        <w:r w:rsidR="002479D6" w:rsidRPr="00114E96">
          <w:rPr>
            <w:color w:val="0563C1"/>
            <w:u w:val="single"/>
            <w:lang w:val="es-ES"/>
          </w:rPr>
          <w:t>Lessmann et al., 2015</w:t>
        </w:r>
      </w:hyperlink>
      <w:r w:rsidRPr="00114E96">
        <w:rPr>
          <w:lang w:val="es-ES"/>
        </w:rPr>
        <w:t>), pero un modelo de varios cientos de árboles ya no se puede leer. Es una caja negra: se conocen sus parámetros, pero ninguna persona puede extraer de ellos por qué se ha denegado un crédito.</w:t>
      </w:r>
    </w:p>
    <w:p w14:paraId="032BF415" w14:textId="678AB709" w:rsidR="002479D6" w:rsidRPr="00114E96" w:rsidRDefault="00000000">
      <w:pPr>
        <w:rPr>
          <w:lang w:val="es-ES"/>
        </w:rPr>
      </w:pPr>
      <w:r w:rsidRPr="00114E96">
        <w:rPr>
          <w:lang w:val="es-ES"/>
        </w:rPr>
        <w:t xml:space="preserve">En crédito esa opacidad </w:t>
      </w:r>
      <w:r w:rsidR="00CD4099">
        <w:rPr>
          <w:lang w:val="es-ES"/>
        </w:rPr>
        <w:t>supone un gran inconveniente</w:t>
      </w:r>
      <w:r w:rsidRPr="00114E96">
        <w:rPr>
          <w:lang w:val="es-ES"/>
        </w:rPr>
        <w:t>. El Reglamento General de Protección de Datos obliga a informar sobre la lógica aplicada en las decisiones automatizadas, la Directiva (UE) 2023/2225 de crédito al consumo reconoce al solicitante el derecho a una explicación clara y comprensible, y el Reglamento (UE) 2024/1689 de inteligencia artificial clasifica la evaluación de solvencia como sistema de alto riesgo. La respuesta habitual es no renunciar al modelo y explicarlo a posteriori; dentro de esa familia, SHAP se ha convertido en el estándar de facto.</w:t>
      </w:r>
    </w:p>
    <w:p w14:paraId="39600CEC" w14:textId="77777777" w:rsidR="00CD4099" w:rsidRDefault="00000000">
      <w:pPr>
        <w:rPr>
          <w:lang w:val="es-ES"/>
        </w:rPr>
      </w:pPr>
      <w:r w:rsidRPr="00114E96">
        <w:rPr>
          <w:lang w:val="es-ES"/>
        </w:rPr>
        <w:t xml:space="preserve">El punto débil es que una explicación post-hoc es, a su vez, una </w:t>
      </w:r>
      <w:r w:rsidR="00CD4099">
        <w:rPr>
          <w:lang w:val="es-ES"/>
        </w:rPr>
        <w:t>estimación</w:t>
      </w:r>
      <w:r w:rsidRPr="00114E96">
        <w:rPr>
          <w:lang w:val="es-ES"/>
        </w:rPr>
        <w:t>: depende de la muestra con la que se entrenó el modelo, de la semilla y del conjunto de datos de referencia respecto al que se mide cada contribución. Si la explicación de un mismo cliente cambia al reentrenar el modelo o al compararlo con otra cartera, no puede sostener una denegación. Hay indicios de que</w:t>
      </w:r>
      <w:r w:rsidR="00CD4099">
        <w:rPr>
          <w:lang w:val="es-ES"/>
        </w:rPr>
        <w:t xml:space="preserve"> esto</w:t>
      </w:r>
      <w:r w:rsidRPr="00114E96">
        <w:rPr>
          <w:lang w:val="es-ES"/>
        </w:rPr>
        <w:t xml:space="preserve"> ocurre: </w:t>
      </w:r>
      <w:hyperlink r:id="rId7">
        <w:r w:rsidR="00CD4099" w:rsidRPr="00114E96">
          <w:rPr>
            <w:color w:val="0563C1"/>
            <w:u w:val="single"/>
            <w:lang w:val="es-ES"/>
          </w:rPr>
          <w:t>Lin y Wang (2025)</w:t>
        </w:r>
      </w:hyperlink>
      <w:r w:rsidRPr="00114E96">
        <w:rPr>
          <w:lang w:val="es-ES"/>
        </w:rPr>
        <w:t xml:space="preserve"> obtienen un W de Kendall de 0,93 para las cinco variables más importantes pero de 0,34 para las de importancia intermedia, y </w:t>
      </w:r>
      <w:hyperlink r:id="rId8">
        <w:r w:rsidR="00CD4099" w:rsidRPr="00114E96">
          <w:rPr>
            <w:color w:val="0563C1"/>
            <w:u w:val="single"/>
            <w:lang w:val="es-ES"/>
          </w:rPr>
          <w:t>García-Céspedes et al. (2025)</w:t>
        </w:r>
      </w:hyperlink>
      <w:r w:rsidRPr="00114E96">
        <w:rPr>
          <w:lang w:val="es-ES"/>
        </w:rPr>
        <w:t xml:space="preserve"> muestran que la explicación de un cliente cambia con el conjunto de referencia aunque el cliente no cambie.</w:t>
      </w:r>
    </w:p>
    <w:p w14:paraId="483F8ECA" w14:textId="02598CF8" w:rsidR="002479D6" w:rsidRPr="00114E96" w:rsidRDefault="00000000">
      <w:pPr>
        <w:rPr>
          <w:lang w:val="es-ES"/>
        </w:rPr>
      </w:pPr>
      <w:r w:rsidRPr="00114E96">
        <w:rPr>
          <w:lang w:val="es-ES"/>
        </w:rPr>
        <w:t xml:space="preserve">De ahí </w:t>
      </w:r>
      <w:r w:rsidR="00CD4099">
        <w:rPr>
          <w:lang w:val="es-ES"/>
        </w:rPr>
        <w:t>se podría plantear una posible</w:t>
      </w:r>
      <w:r w:rsidRPr="00114E96">
        <w:rPr>
          <w:lang w:val="es-ES"/>
        </w:rPr>
        <w:t xml:space="preserve"> pregunta </w:t>
      </w:r>
      <w:r w:rsidR="00CD4099">
        <w:rPr>
          <w:lang w:val="es-ES"/>
        </w:rPr>
        <w:t>para</w:t>
      </w:r>
      <w:r w:rsidRPr="00114E96">
        <w:rPr>
          <w:lang w:val="es-ES"/>
        </w:rPr>
        <w:t xml:space="preserve"> este TFG: </w:t>
      </w:r>
      <w:r w:rsidRPr="00114E96">
        <w:rPr>
          <w:b/>
          <w:lang w:val="es-ES"/>
        </w:rPr>
        <w:t>en qué condiciones las explicaciones SHAP de un XGBoost son estables y coherentes</w:t>
      </w:r>
      <w:r w:rsidRPr="00114E96">
        <w:rPr>
          <w:lang w:val="es-ES"/>
        </w:rPr>
        <w:t>, tomando como referencia una regresión logística entrenada sobre los mismos datos.</w:t>
      </w:r>
    </w:p>
    <w:p w14:paraId="4955A7F6" w14:textId="77777777" w:rsidR="002479D6" w:rsidRPr="00114E96" w:rsidRDefault="00000000">
      <w:pPr>
        <w:pStyle w:val="Ttulo1"/>
        <w:rPr>
          <w:lang w:val="es-ES"/>
        </w:rPr>
      </w:pPr>
      <w:r w:rsidRPr="00114E96">
        <w:rPr>
          <w:lang w:val="es-ES"/>
        </w:rPr>
        <w:t>2. Marco teórico</w:t>
      </w:r>
    </w:p>
    <w:p w14:paraId="76196B45" w14:textId="77777777" w:rsidR="002479D6" w:rsidRPr="00114E96" w:rsidRDefault="00000000">
      <w:pPr>
        <w:rPr>
          <w:lang w:val="es-ES"/>
        </w:rPr>
      </w:pPr>
      <w:r w:rsidRPr="00114E96">
        <w:rPr>
          <w:lang w:val="es-ES"/>
        </w:rPr>
        <w:t>Un modelo puede ser interpretable de forma intrínseca, cuando su propia estructura es legible, o explicarse post-hoc, cuando la explicación se obtiene de un modelo ya entrenado; y una explicación puede ser global, sobre el modelo en conjunto, o local, sobre una predicción concreta. En crédito la obligación es local: hay que justificar la decisión de un solicitante determinado. Los dos métodos post-hoc de referencia son LIME y SHAP.</w:t>
      </w:r>
    </w:p>
    <w:p w14:paraId="48352D47" w14:textId="77777777" w:rsidR="002479D6" w:rsidRPr="00114E96" w:rsidRDefault="00000000">
      <w:pPr>
        <w:pStyle w:val="Ttulo2"/>
        <w:rPr>
          <w:lang w:val="es-ES"/>
        </w:rPr>
      </w:pPr>
      <w:r w:rsidRPr="00114E96">
        <w:rPr>
          <w:lang w:val="es-ES"/>
        </w:rPr>
        <w:t>2.1. LIME</w:t>
      </w:r>
    </w:p>
    <w:p w14:paraId="3B16D655" w14:textId="77777777" w:rsidR="002479D6" w:rsidRPr="00114E96" w:rsidRDefault="00000000">
      <w:pPr>
        <w:rPr>
          <w:lang w:val="es-ES"/>
        </w:rPr>
      </w:pPr>
      <w:r w:rsidRPr="00114E96">
        <w:rPr>
          <w:lang w:val="es-ES"/>
        </w:rPr>
        <w:t>LIME (</w:t>
      </w:r>
      <w:hyperlink r:id="rId9">
        <w:r w:rsidR="002479D6" w:rsidRPr="00114E96">
          <w:rPr>
            <w:color w:val="0563C1"/>
            <w:u w:val="single"/>
            <w:lang w:val="es-ES"/>
          </w:rPr>
          <w:t>Ribeiro et al., 2016</w:t>
        </w:r>
      </w:hyperlink>
      <w:r w:rsidRPr="00114E96">
        <w:rPr>
          <w:lang w:val="es-ES"/>
        </w:rPr>
        <w:t xml:space="preserve">) aproxima el modelo en el entorno de una instancia por un modelo lineal: genera instancias perturbadas alrededor de ella, las etiqueta con las predicciones del modelo original, las pondera según su proximidad y ajusta sobre ellas una regresión lineal dispersa cuyos coeficientes son la explicación. Es agnóstico al modelo y barato, pero el vecindario es una elección arbitraria, las perturbaciones se generan al azar —de modo que dos ejecuciones sobre la misma instancia pueden dar </w:t>
      </w:r>
      <w:r w:rsidRPr="00114E96">
        <w:rPr>
          <w:lang w:val="es-ES"/>
        </w:rPr>
        <w:lastRenderedPageBreak/>
        <w:t>explicaciones distintas— y las contribuciones no suman la predicción. Queda fuera del alcance del trabajo, que evalúa un único método, pero es la referencia obligada del estado del arte porque los estudios de estabilidad en credit scoring lo comparan siempre con SHAP.</w:t>
      </w:r>
    </w:p>
    <w:p w14:paraId="7629570A" w14:textId="77777777" w:rsidR="002479D6" w:rsidRPr="00114E96" w:rsidRDefault="00000000">
      <w:pPr>
        <w:pStyle w:val="Ttulo2"/>
        <w:rPr>
          <w:lang w:val="es-ES"/>
        </w:rPr>
      </w:pPr>
      <w:r w:rsidRPr="00114E96">
        <w:rPr>
          <w:lang w:val="es-ES"/>
        </w:rPr>
        <w:t>2.2. SHAP</w:t>
      </w:r>
    </w:p>
    <w:p w14:paraId="2AFD0482" w14:textId="77777777" w:rsidR="002479D6" w:rsidRPr="00114E96" w:rsidRDefault="00000000">
      <w:pPr>
        <w:rPr>
          <w:lang w:val="es-ES"/>
        </w:rPr>
      </w:pPr>
      <w:r w:rsidRPr="00114E96">
        <w:rPr>
          <w:lang w:val="es-ES"/>
        </w:rPr>
        <w:t>SHAP (</w:t>
      </w:r>
      <w:hyperlink r:id="rId10">
        <w:r w:rsidR="002479D6" w:rsidRPr="00114E96">
          <w:rPr>
            <w:color w:val="0563C1"/>
            <w:u w:val="single"/>
            <w:lang w:val="es-ES"/>
          </w:rPr>
          <w:t>Lundberg y Lee, 2017</w:t>
        </w:r>
      </w:hyperlink>
      <w:r w:rsidRPr="00114E96">
        <w:rPr>
          <w:lang w:val="es-ES"/>
        </w:rPr>
        <w:t xml:space="preserve">) plantea el reparto de la predicción entre las variables como un problema de teoría de juegos: los jugadores son las variables y la ganancia a repartir es la diferencia entre la predicción del cliente y la predicción media del modelo. La contribución de la variable </w:t>
      </w:r>
      <w:r w:rsidRPr="00114E96">
        <w:rPr>
          <w:i/>
          <w:lang w:val="es-ES"/>
        </w:rPr>
        <w:t>i</w:t>
      </w:r>
      <w:r w:rsidRPr="00114E96">
        <w:rPr>
          <w:lang w:val="es-ES"/>
        </w:rPr>
        <w:t xml:space="preserve"> es su valor de Shapley, es decir, su aportación marginal promediada sobre todos los órdenes posibles de entrada de las variables.</w:t>
      </w:r>
    </w:p>
    <w:p w14:paraId="27E8FF3F" w14:textId="77777777" w:rsidR="002479D6" w:rsidRPr="00114E96" w:rsidRDefault="00000000">
      <w:pPr>
        <w:rPr>
          <w:lang w:val="es-ES"/>
        </w:rPr>
      </w:pPr>
      <w:r w:rsidRPr="00114E96">
        <w:rPr>
          <w:lang w:val="es-ES"/>
        </w:rPr>
        <w:t xml:space="preserve">Su atractivo es que es la única atribución aditiva que cumple tres propiedades a la vez: </w:t>
      </w:r>
      <w:r w:rsidRPr="00114E96">
        <w:rPr>
          <w:b/>
          <w:lang w:val="es-ES"/>
        </w:rPr>
        <w:t>precisión local</w:t>
      </w:r>
      <w:r w:rsidRPr="00114E96">
        <w:rPr>
          <w:lang w:val="es-ES"/>
        </w:rPr>
        <w:t xml:space="preserve">, las contribuciones suman exactamente la predicción, de modo que la puntuación de un cliente se descompone sin resto en motivos con su importe; </w:t>
      </w:r>
      <w:r w:rsidRPr="00114E96">
        <w:rPr>
          <w:b/>
          <w:lang w:val="es-ES"/>
        </w:rPr>
        <w:t>ausencia</w:t>
      </w:r>
      <w:r w:rsidRPr="00114E96">
        <w:rPr>
          <w:lang w:val="es-ES"/>
        </w:rPr>
        <w:t xml:space="preserve">, una variable no presente no recibe atribución; y </w:t>
      </w:r>
      <w:r w:rsidRPr="00114E96">
        <w:rPr>
          <w:b/>
          <w:lang w:val="es-ES"/>
        </w:rPr>
        <w:t>consistencia</w:t>
      </w:r>
      <w:r w:rsidRPr="00114E96">
        <w:rPr>
          <w:lang w:val="es-ES"/>
        </w:rPr>
        <w:t xml:space="preserve">, si una variable pesa más en el modelo su atribución no puede bajar. Tiene dos dificultades prácticas, y las dos son el objeto del trabajo. La primera es que calcular el valor del modelo cuando solo se conoce parte de las variables exige decidir qué significa que una variable no esté, y eso se resuelve promediando sobre un </w:t>
      </w:r>
      <w:r w:rsidRPr="00114E96">
        <w:rPr>
          <w:b/>
          <w:lang w:val="es-ES"/>
        </w:rPr>
        <w:t>conjunto de datos de referencia</w:t>
      </w:r>
      <w:r w:rsidRPr="00114E96">
        <w:rPr>
          <w:lang w:val="es-ES"/>
        </w:rPr>
        <w:t>, por lo que la explicación depende de la cartera contra la que se compara al cliente. La segunda es el coste: la suma recorre los 2^M subconjuntos de variables, y la aproximación general, KernelSHAP, muestrea coaliciones, lo que reintroduce variabilidad.</w:t>
      </w:r>
    </w:p>
    <w:p w14:paraId="3094EDA7" w14:textId="77777777" w:rsidR="002479D6" w:rsidRPr="00114E96" w:rsidRDefault="00000000">
      <w:pPr>
        <w:pStyle w:val="Ttulo2"/>
        <w:rPr>
          <w:lang w:val="es-ES"/>
        </w:rPr>
      </w:pPr>
      <w:r w:rsidRPr="00114E96">
        <w:rPr>
          <w:lang w:val="es-ES"/>
        </w:rPr>
        <w:t>2.3. TreeSHAP</w:t>
      </w:r>
    </w:p>
    <w:p w14:paraId="5C6DEA5F" w14:textId="77777777" w:rsidR="002479D6" w:rsidRPr="00114E96" w:rsidRDefault="00000000">
      <w:pPr>
        <w:rPr>
          <w:lang w:val="es-ES"/>
        </w:rPr>
      </w:pPr>
      <w:r w:rsidRPr="00114E96">
        <w:rPr>
          <w:lang w:val="es-ES"/>
        </w:rPr>
        <w:t>TreeSHAP (</w:t>
      </w:r>
      <w:hyperlink r:id="rId11">
        <w:r w:rsidR="002479D6" w:rsidRPr="00114E96">
          <w:rPr>
            <w:color w:val="0563C1"/>
            <w:u w:val="single"/>
            <w:lang w:val="es-ES"/>
          </w:rPr>
          <w:t>Lundberg et al., 2020</w:t>
        </w:r>
      </w:hyperlink>
      <w:r w:rsidRPr="00114E96">
        <w:rPr>
          <w:lang w:val="es-ES"/>
        </w:rPr>
        <w:t xml:space="preserve">) resuelve el coste en modelos de árboles: en lugar de enumerar las coaliciones, recorre el árbol propagando por cada rama la proporción de subconjuntos de variables que la seguirían, lo que da un cálculo </w:t>
      </w:r>
      <w:r w:rsidRPr="00114E96">
        <w:rPr>
          <w:i/>
          <w:lang w:val="es-ES"/>
        </w:rPr>
        <w:t>exacto</w:t>
      </w:r>
      <w:r w:rsidRPr="00114E96">
        <w:rPr>
          <w:lang w:val="es-ES"/>
        </w:rPr>
        <w:t xml:space="preserve"> en tiempo polinómico, O(T·L·D²) para T árboles con L hojas y profundidad D. Tiene dos variantes: </w:t>
      </w:r>
      <w:r w:rsidRPr="00114E96">
        <w:rPr>
          <w:i/>
          <w:lang w:val="es-ES"/>
        </w:rPr>
        <w:t>path-dependent</w:t>
      </w:r>
      <w:r w:rsidRPr="00114E96">
        <w:rPr>
          <w:lang w:val="es-ES"/>
        </w:rPr>
        <w:t xml:space="preserve">, que usa los pesos de cobertura guardados en el árbol y no necesita conjunto de referencia, e </w:t>
      </w:r>
      <w:r w:rsidRPr="00114E96">
        <w:rPr>
          <w:i/>
          <w:lang w:val="es-ES"/>
        </w:rPr>
        <w:t>interventional</w:t>
      </w:r>
      <w:r w:rsidRPr="00114E96">
        <w:rPr>
          <w:lang w:val="es-ES"/>
        </w:rPr>
        <w:t xml:space="preserve">, que promedia sobre un conjunto de referencia explícito. Para este trabajo lo decisivo es que TreeSHAP es </w:t>
      </w:r>
      <w:r w:rsidRPr="00114E96">
        <w:rPr>
          <w:b/>
          <w:lang w:val="es-ES"/>
        </w:rPr>
        <w:t>determinista y exacto</w:t>
      </w:r>
      <w:r w:rsidRPr="00114E96">
        <w:rPr>
          <w:lang w:val="es-ES"/>
        </w:rPr>
        <w:t xml:space="preserve"> dados el modelo y el conjunto de referencia: así, toda la variabilidad que se observe procede del modelo o del conjunto de referencia, y no del error de muestreo del estimador.</w:t>
      </w:r>
    </w:p>
    <w:p w14:paraId="7FC51C05" w14:textId="77777777" w:rsidR="002479D6" w:rsidRPr="00114E96" w:rsidRDefault="00000000">
      <w:pPr>
        <w:pStyle w:val="Ttulo2"/>
        <w:rPr>
          <w:lang w:val="es-ES"/>
        </w:rPr>
      </w:pPr>
      <w:r w:rsidRPr="00114E96">
        <w:rPr>
          <w:lang w:val="es-ES"/>
        </w:rPr>
        <w:t>2.4. XGBoost</w:t>
      </w:r>
    </w:p>
    <w:p w14:paraId="47D0E008" w14:textId="77777777" w:rsidR="002479D6" w:rsidRPr="00114E96" w:rsidRDefault="00000000">
      <w:pPr>
        <w:rPr>
          <w:lang w:val="es-ES"/>
        </w:rPr>
      </w:pPr>
      <w:r w:rsidRPr="00114E96">
        <w:rPr>
          <w:lang w:val="es-ES"/>
        </w:rPr>
        <w:t>XGBoost (</w:t>
      </w:r>
      <w:hyperlink r:id="rId12">
        <w:r w:rsidR="002479D6" w:rsidRPr="00114E96">
          <w:rPr>
            <w:color w:val="0563C1"/>
            <w:u w:val="single"/>
            <w:lang w:val="es-ES"/>
          </w:rPr>
          <w:t>Chen y Guestrin, 2016</w:t>
        </w:r>
      </w:hyperlink>
      <w:r w:rsidRPr="00114E96">
        <w:rPr>
          <w:lang w:val="es-ES"/>
        </w:rPr>
        <w:t>) es una implementación de gradient boosting con árboles: el modelo es una suma de árboles que se construye de forma aditiva, añadiendo en cada iteración el que más reduce un objetivo que combina la pérdida con una penalización explícita de la complejidad del árbol, por su número de hojas y por la magnitud de sus pesos.</w:t>
      </w:r>
    </w:p>
    <w:p w14:paraId="18590926" w14:textId="77777777" w:rsidR="002479D6" w:rsidRPr="00114E96" w:rsidRDefault="00000000">
      <w:pPr>
        <w:rPr>
          <w:lang w:val="es-ES"/>
        </w:rPr>
      </w:pPr>
      <w:r w:rsidRPr="00114E96">
        <w:rPr>
          <w:lang w:val="es-ES"/>
        </w:rPr>
        <w:t>Se usa en este proyecto por cuatro razones. Es la familia que mejor rendimiento obtiene en credit scoring (</w:t>
      </w:r>
      <w:hyperlink r:id="rId13">
        <w:r w:rsidR="002479D6" w:rsidRPr="00114E96">
          <w:rPr>
            <w:color w:val="0563C1"/>
            <w:u w:val="single"/>
            <w:lang w:val="es-ES"/>
          </w:rPr>
          <w:t>Lessmann et al., 2015</w:t>
        </w:r>
      </w:hyperlink>
      <w:r w:rsidRPr="00114E96">
        <w:rPr>
          <w:lang w:val="es-ES"/>
        </w:rPr>
        <w:t xml:space="preserve">), de modo que la pregunta sobre sus explicaciones es pertinente. Encaja con los datos de crédito, porque capta no linealidades e interacciones, no necesita escalado y absorbe los valores perdidos sin imputación previa. Es compatible de forma exacta con TreeSHAP, lo que hace viable recalcular las explicaciones de cientos de clientes en cada uno de varias decenas de reentrenamientos. Y permite comparar con la literatura, en particular con </w:t>
      </w:r>
      <w:hyperlink r:id="rId14">
        <w:r w:rsidR="002479D6" w:rsidRPr="00114E96">
          <w:rPr>
            <w:color w:val="0563C1"/>
            <w:u w:val="single"/>
            <w:lang w:val="es-ES"/>
          </w:rPr>
          <w:t>Lin y Wang (2025)</w:t>
        </w:r>
      </w:hyperlink>
      <w:r w:rsidRPr="00114E96">
        <w:rPr>
          <w:lang w:val="es-ES"/>
        </w:rPr>
        <w:t xml:space="preserve">, que lo usan sobre el mismo </w:t>
      </w:r>
      <w:r w:rsidRPr="00114E96">
        <w:rPr>
          <w:lang w:val="es-ES"/>
        </w:rPr>
        <w:lastRenderedPageBreak/>
        <w:t>conjunto de datos. Además, su entrenamiento es estocástico, por el submuestreo de filas y de columnas, que es justamente la sensibilidad que el trabajo quiere medir.</w:t>
      </w:r>
    </w:p>
    <w:p w14:paraId="2AC0B6F2" w14:textId="77777777" w:rsidR="002479D6" w:rsidRPr="00114E96" w:rsidRDefault="00000000">
      <w:pPr>
        <w:rPr>
          <w:lang w:val="es-ES"/>
        </w:rPr>
      </w:pPr>
      <w:r w:rsidRPr="00114E96">
        <w:rPr>
          <w:lang w:val="es-ES"/>
        </w:rPr>
        <w:t>Frente a él se entrena una regresión logística con penalización L2 sobre los mismos datos y las mismas particiones, como línea base interpretable por construcción y como referencia de estabilidad.</w:t>
      </w:r>
    </w:p>
    <w:p w14:paraId="3E3727F9" w14:textId="77777777" w:rsidR="002479D6" w:rsidRPr="00114E96" w:rsidRDefault="00000000">
      <w:pPr>
        <w:pStyle w:val="Ttulo1"/>
        <w:rPr>
          <w:lang w:val="es-ES"/>
        </w:rPr>
      </w:pPr>
      <w:r w:rsidRPr="00114E96">
        <w:rPr>
          <w:lang w:val="es-ES"/>
        </w:rPr>
        <w:t>3. Conjuntos de datos candidatos</w:t>
      </w:r>
    </w:p>
    <w:p w14:paraId="65054EED" w14:textId="2A833435" w:rsidR="002479D6" w:rsidRPr="00114E96" w:rsidRDefault="00000000">
      <w:pPr>
        <w:rPr>
          <w:lang w:val="es-ES"/>
        </w:rPr>
      </w:pPr>
      <w:r w:rsidRPr="00114E96">
        <w:rPr>
          <w:lang w:val="es-ES"/>
        </w:rPr>
        <w:t>Se han descargado y analizado cinco conjuntos de datos públicos de credit scoring.</w:t>
      </w:r>
    </w:p>
    <w:p w14:paraId="17B1C147" w14:textId="77777777" w:rsidR="002479D6" w:rsidRPr="00114E96" w:rsidRDefault="00000000">
      <w:pPr>
        <w:spacing w:before="160" w:after="80"/>
        <w:jc w:val="left"/>
        <w:rPr>
          <w:lang w:val="es-ES"/>
        </w:rPr>
      </w:pPr>
      <w:r w:rsidRPr="00114E96">
        <w:rPr>
          <w:b/>
          <w:sz w:val="19"/>
          <w:lang w:val="es-ES"/>
        </w:rPr>
        <w:t>Tabla 1.</w:t>
      </w:r>
      <w:r w:rsidRPr="00114E96">
        <w:rPr>
          <w:sz w:val="19"/>
          <w:lang w:val="es-ES"/>
        </w:rPr>
        <w:t xml:space="preserve"> Conjuntos de datos candidatos.</w:t>
      </w:r>
    </w:p>
    <w:tbl>
      <w:tblPr>
        <w:tblStyle w:val="Tablaconcuadrcula"/>
        <w:tblW w:w="0" w:type="auto"/>
        <w:jc w:val="center"/>
        <w:tblLayout w:type="fixed"/>
        <w:tblLook w:val="04A0" w:firstRow="1" w:lastRow="0" w:firstColumn="1" w:lastColumn="0" w:noHBand="0" w:noVBand="1"/>
      </w:tblPr>
      <w:tblGrid>
        <w:gridCol w:w="1814"/>
        <w:gridCol w:w="1077"/>
        <w:gridCol w:w="1474"/>
        <w:gridCol w:w="1020"/>
        <w:gridCol w:w="1191"/>
        <w:gridCol w:w="1984"/>
        <w:gridCol w:w="850"/>
      </w:tblGrid>
      <w:tr w:rsidR="002479D6" w14:paraId="56F38694" w14:textId="77777777">
        <w:trPr>
          <w:tblHeader/>
          <w:jc w:val="center"/>
        </w:trPr>
        <w:tc>
          <w:tcPr>
            <w:tcW w:w="1814" w:type="dxa"/>
            <w:shd w:val="clear" w:color="auto" w:fill="1F3B63"/>
          </w:tcPr>
          <w:p w14:paraId="195078D8" w14:textId="77777777" w:rsidR="002479D6" w:rsidRDefault="00000000">
            <w:pPr>
              <w:spacing w:before="40" w:after="40"/>
              <w:jc w:val="left"/>
            </w:pPr>
            <w:r>
              <w:rPr>
                <w:b/>
                <w:color w:val="FFFFFF"/>
                <w:sz w:val="17"/>
              </w:rPr>
              <w:t>Conjunto de datos</w:t>
            </w:r>
          </w:p>
        </w:tc>
        <w:tc>
          <w:tcPr>
            <w:tcW w:w="1077" w:type="dxa"/>
            <w:shd w:val="clear" w:color="auto" w:fill="1F3B63"/>
          </w:tcPr>
          <w:p w14:paraId="3F38A4DA" w14:textId="77777777" w:rsidR="002479D6" w:rsidRDefault="00000000">
            <w:pPr>
              <w:spacing w:before="40" w:after="40"/>
              <w:jc w:val="left"/>
            </w:pPr>
            <w:r>
              <w:rPr>
                <w:b/>
                <w:color w:val="FFFFFF"/>
                <w:sz w:val="17"/>
              </w:rPr>
              <w:t>Fuente</w:t>
            </w:r>
          </w:p>
        </w:tc>
        <w:tc>
          <w:tcPr>
            <w:tcW w:w="1474" w:type="dxa"/>
            <w:shd w:val="clear" w:color="auto" w:fill="1F3B63"/>
          </w:tcPr>
          <w:p w14:paraId="7B190360" w14:textId="77777777" w:rsidR="002479D6" w:rsidRDefault="00000000">
            <w:pPr>
              <w:spacing w:before="40" w:after="40"/>
              <w:jc w:val="left"/>
            </w:pPr>
            <w:r>
              <w:rPr>
                <w:b/>
                <w:color w:val="FFFFFF"/>
                <w:sz w:val="17"/>
              </w:rPr>
              <w:t>Observaciones</w:t>
            </w:r>
          </w:p>
        </w:tc>
        <w:tc>
          <w:tcPr>
            <w:tcW w:w="1020" w:type="dxa"/>
            <w:shd w:val="clear" w:color="auto" w:fill="1F3B63"/>
          </w:tcPr>
          <w:p w14:paraId="09A38552" w14:textId="3871A96E" w:rsidR="002479D6" w:rsidRDefault="005655BD">
            <w:pPr>
              <w:spacing w:before="40" w:after="40"/>
              <w:jc w:val="left"/>
            </w:pPr>
            <w:r>
              <w:rPr>
                <w:b/>
                <w:color w:val="FFFFFF"/>
                <w:sz w:val="17"/>
              </w:rPr>
              <w:t>Variables</w:t>
            </w:r>
          </w:p>
        </w:tc>
        <w:tc>
          <w:tcPr>
            <w:tcW w:w="1191" w:type="dxa"/>
            <w:shd w:val="clear" w:color="auto" w:fill="1F3B63"/>
          </w:tcPr>
          <w:p w14:paraId="613E4F9D" w14:textId="77777777" w:rsidR="002479D6" w:rsidRDefault="00000000">
            <w:pPr>
              <w:spacing w:before="40" w:after="40"/>
              <w:jc w:val="left"/>
            </w:pPr>
            <w:r>
              <w:rPr>
                <w:b/>
                <w:color w:val="FFFFFF"/>
                <w:sz w:val="17"/>
              </w:rPr>
              <w:t>Tasa de impago</w:t>
            </w:r>
          </w:p>
        </w:tc>
        <w:tc>
          <w:tcPr>
            <w:tcW w:w="1984" w:type="dxa"/>
            <w:shd w:val="clear" w:color="auto" w:fill="1F3B63"/>
          </w:tcPr>
          <w:p w14:paraId="2E81160C" w14:textId="77777777" w:rsidR="002479D6" w:rsidRDefault="00000000">
            <w:pPr>
              <w:spacing w:before="40" w:after="40"/>
              <w:jc w:val="left"/>
            </w:pPr>
            <w:r>
              <w:rPr>
                <w:b/>
                <w:color w:val="FFFFFF"/>
                <w:sz w:val="17"/>
              </w:rPr>
              <w:t>Valores perdidos</w:t>
            </w:r>
          </w:p>
        </w:tc>
        <w:tc>
          <w:tcPr>
            <w:tcW w:w="850" w:type="dxa"/>
            <w:shd w:val="clear" w:color="auto" w:fill="1F3B63"/>
          </w:tcPr>
          <w:p w14:paraId="2937A64C" w14:textId="77777777" w:rsidR="002479D6" w:rsidRDefault="00000000">
            <w:pPr>
              <w:spacing w:before="40" w:after="40"/>
              <w:jc w:val="left"/>
            </w:pPr>
            <w:r>
              <w:rPr>
                <w:b/>
                <w:color w:val="FFFFFF"/>
                <w:sz w:val="17"/>
              </w:rPr>
              <w:t>Duplicados</w:t>
            </w:r>
          </w:p>
        </w:tc>
      </w:tr>
      <w:tr w:rsidR="002479D6" w14:paraId="534326E4" w14:textId="77777777">
        <w:trPr>
          <w:jc w:val="center"/>
        </w:trPr>
        <w:tc>
          <w:tcPr>
            <w:tcW w:w="1814" w:type="dxa"/>
            <w:shd w:val="clear" w:color="auto" w:fill="EDF1F7"/>
          </w:tcPr>
          <w:p w14:paraId="577EB4DB" w14:textId="77777777" w:rsidR="002479D6" w:rsidRDefault="00000000">
            <w:pPr>
              <w:spacing w:before="40" w:after="40"/>
              <w:jc w:val="left"/>
            </w:pPr>
            <w:r>
              <w:rPr>
                <w:b/>
                <w:sz w:val="17"/>
              </w:rPr>
              <w:t>Give Me Some Credit</w:t>
            </w:r>
          </w:p>
        </w:tc>
        <w:tc>
          <w:tcPr>
            <w:tcW w:w="1077" w:type="dxa"/>
          </w:tcPr>
          <w:p w14:paraId="32ED0E46" w14:textId="77777777" w:rsidR="002479D6" w:rsidRDefault="002479D6">
            <w:pPr>
              <w:spacing w:before="40" w:after="40"/>
              <w:jc w:val="left"/>
            </w:pPr>
            <w:hyperlink r:id="rId15">
              <w:r>
                <w:rPr>
                  <w:color w:val="0563C1"/>
                  <w:sz w:val="17"/>
                  <w:u w:val="single"/>
                </w:rPr>
                <w:t>Kaggle</w:t>
              </w:r>
            </w:hyperlink>
          </w:p>
        </w:tc>
        <w:tc>
          <w:tcPr>
            <w:tcW w:w="1474" w:type="dxa"/>
          </w:tcPr>
          <w:p w14:paraId="4B496FAB" w14:textId="77777777" w:rsidR="002479D6" w:rsidRDefault="00000000">
            <w:pPr>
              <w:spacing w:before="40" w:after="40"/>
              <w:jc w:val="left"/>
            </w:pPr>
            <w:r>
              <w:rPr>
                <w:sz w:val="17"/>
              </w:rPr>
              <w:t>150.000</w:t>
            </w:r>
          </w:p>
        </w:tc>
        <w:tc>
          <w:tcPr>
            <w:tcW w:w="1020" w:type="dxa"/>
          </w:tcPr>
          <w:p w14:paraId="5B4DBD99" w14:textId="77777777" w:rsidR="002479D6" w:rsidRDefault="00000000">
            <w:pPr>
              <w:spacing w:before="40" w:after="40"/>
              <w:jc w:val="left"/>
            </w:pPr>
            <w:r>
              <w:rPr>
                <w:sz w:val="17"/>
              </w:rPr>
              <w:t>11</w:t>
            </w:r>
          </w:p>
        </w:tc>
        <w:tc>
          <w:tcPr>
            <w:tcW w:w="1191" w:type="dxa"/>
          </w:tcPr>
          <w:p w14:paraId="506F858D" w14:textId="77777777" w:rsidR="002479D6" w:rsidRDefault="00000000">
            <w:pPr>
              <w:spacing w:before="40" w:after="40"/>
              <w:jc w:val="left"/>
            </w:pPr>
            <w:r>
              <w:rPr>
                <w:sz w:val="17"/>
              </w:rPr>
              <w:t>6,7 %</w:t>
            </w:r>
          </w:p>
        </w:tc>
        <w:tc>
          <w:tcPr>
            <w:tcW w:w="1984" w:type="dxa"/>
          </w:tcPr>
          <w:p w14:paraId="61634C6F" w14:textId="77777777" w:rsidR="002479D6" w:rsidRDefault="00000000">
            <w:pPr>
              <w:spacing w:before="40" w:after="40"/>
              <w:jc w:val="left"/>
            </w:pPr>
            <w:r>
              <w:rPr>
                <w:sz w:val="17"/>
              </w:rPr>
              <w:t>2 de 11 columnas: 19,8 % y 2,6 %</w:t>
            </w:r>
          </w:p>
        </w:tc>
        <w:tc>
          <w:tcPr>
            <w:tcW w:w="850" w:type="dxa"/>
          </w:tcPr>
          <w:p w14:paraId="397832D7" w14:textId="77777777" w:rsidR="002479D6" w:rsidRDefault="00000000">
            <w:pPr>
              <w:spacing w:before="40" w:after="40"/>
              <w:jc w:val="left"/>
            </w:pPr>
            <w:r>
              <w:rPr>
                <w:sz w:val="17"/>
              </w:rPr>
              <w:t>609</w:t>
            </w:r>
          </w:p>
        </w:tc>
      </w:tr>
      <w:tr w:rsidR="002479D6" w14:paraId="6D116A6D" w14:textId="77777777">
        <w:trPr>
          <w:jc w:val="center"/>
        </w:trPr>
        <w:tc>
          <w:tcPr>
            <w:tcW w:w="1814" w:type="dxa"/>
            <w:shd w:val="clear" w:color="auto" w:fill="EDF1F7"/>
          </w:tcPr>
          <w:p w14:paraId="5237C8ED" w14:textId="77777777" w:rsidR="002479D6" w:rsidRDefault="00000000">
            <w:pPr>
              <w:spacing w:before="40" w:after="40"/>
              <w:jc w:val="left"/>
            </w:pPr>
            <w:r>
              <w:rPr>
                <w:b/>
                <w:sz w:val="17"/>
              </w:rPr>
              <w:t>South German Credit</w:t>
            </w:r>
          </w:p>
        </w:tc>
        <w:tc>
          <w:tcPr>
            <w:tcW w:w="1077" w:type="dxa"/>
          </w:tcPr>
          <w:p w14:paraId="41240C9B" w14:textId="77777777" w:rsidR="002479D6" w:rsidRDefault="002479D6">
            <w:pPr>
              <w:spacing w:before="40" w:after="40"/>
              <w:jc w:val="left"/>
            </w:pPr>
            <w:hyperlink r:id="rId16">
              <w:r>
                <w:rPr>
                  <w:color w:val="0563C1"/>
                  <w:sz w:val="17"/>
                  <w:u w:val="single"/>
                </w:rPr>
                <w:t>UCI #573</w:t>
              </w:r>
            </w:hyperlink>
          </w:p>
        </w:tc>
        <w:tc>
          <w:tcPr>
            <w:tcW w:w="1474" w:type="dxa"/>
          </w:tcPr>
          <w:p w14:paraId="1F046E5A" w14:textId="77777777" w:rsidR="002479D6" w:rsidRDefault="00000000">
            <w:pPr>
              <w:spacing w:before="40" w:after="40"/>
              <w:jc w:val="left"/>
            </w:pPr>
            <w:r>
              <w:rPr>
                <w:sz w:val="17"/>
              </w:rPr>
              <w:t>1.000</w:t>
            </w:r>
          </w:p>
        </w:tc>
        <w:tc>
          <w:tcPr>
            <w:tcW w:w="1020" w:type="dxa"/>
          </w:tcPr>
          <w:p w14:paraId="080A3696" w14:textId="77777777" w:rsidR="002479D6" w:rsidRDefault="00000000">
            <w:pPr>
              <w:spacing w:before="40" w:after="40"/>
              <w:jc w:val="left"/>
            </w:pPr>
            <w:r>
              <w:rPr>
                <w:sz w:val="17"/>
              </w:rPr>
              <w:t>21</w:t>
            </w:r>
          </w:p>
        </w:tc>
        <w:tc>
          <w:tcPr>
            <w:tcW w:w="1191" w:type="dxa"/>
          </w:tcPr>
          <w:p w14:paraId="0ADCBB56" w14:textId="77777777" w:rsidR="002479D6" w:rsidRDefault="00000000">
            <w:pPr>
              <w:spacing w:before="40" w:after="40"/>
              <w:jc w:val="left"/>
            </w:pPr>
            <w:r>
              <w:rPr>
                <w:sz w:val="17"/>
              </w:rPr>
              <w:t>30,0 % *</w:t>
            </w:r>
          </w:p>
        </w:tc>
        <w:tc>
          <w:tcPr>
            <w:tcW w:w="1984" w:type="dxa"/>
          </w:tcPr>
          <w:p w14:paraId="510B977A" w14:textId="77777777" w:rsidR="002479D6" w:rsidRDefault="00000000">
            <w:pPr>
              <w:spacing w:before="40" w:after="40"/>
              <w:jc w:val="left"/>
            </w:pPr>
            <w:r>
              <w:rPr>
                <w:sz w:val="17"/>
              </w:rPr>
              <w:t>Ninguno</w:t>
            </w:r>
          </w:p>
        </w:tc>
        <w:tc>
          <w:tcPr>
            <w:tcW w:w="850" w:type="dxa"/>
          </w:tcPr>
          <w:p w14:paraId="44BEF6DE" w14:textId="77777777" w:rsidR="002479D6" w:rsidRDefault="00000000">
            <w:pPr>
              <w:spacing w:before="40" w:after="40"/>
              <w:jc w:val="left"/>
            </w:pPr>
            <w:r>
              <w:rPr>
                <w:sz w:val="17"/>
              </w:rPr>
              <w:t>0</w:t>
            </w:r>
          </w:p>
        </w:tc>
      </w:tr>
      <w:tr w:rsidR="002479D6" w14:paraId="2EBBAC29" w14:textId="77777777">
        <w:trPr>
          <w:jc w:val="center"/>
        </w:trPr>
        <w:tc>
          <w:tcPr>
            <w:tcW w:w="1814" w:type="dxa"/>
            <w:shd w:val="clear" w:color="auto" w:fill="EDF1F7"/>
          </w:tcPr>
          <w:p w14:paraId="502CD840" w14:textId="77777777" w:rsidR="002479D6" w:rsidRDefault="00000000">
            <w:pPr>
              <w:spacing w:before="40" w:after="40"/>
              <w:jc w:val="left"/>
            </w:pPr>
            <w:r>
              <w:rPr>
                <w:b/>
                <w:sz w:val="17"/>
              </w:rPr>
              <w:t>Default of Credit Card Clients (Taiwán)</w:t>
            </w:r>
          </w:p>
        </w:tc>
        <w:tc>
          <w:tcPr>
            <w:tcW w:w="1077" w:type="dxa"/>
          </w:tcPr>
          <w:p w14:paraId="6370E471" w14:textId="77777777" w:rsidR="002479D6" w:rsidRDefault="002479D6">
            <w:pPr>
              <w:spacing w:before="40" w:after="40"/>
              <w:jc w:val="left"/>
            </w:pPr>
            <w:hyperlink r:id="rId17">
              <w:r>
                <w:rPr>
                  <w:color w:val="0563C1"/>
                  <w:sz w:val="17"/>
                  <w:u w:val="single"/>
                </w:rPr>
                <w:t>UCI #350</w:t>
              </w:r>
            </w:hyperlink>
          </w:p>
        </w:tc>
        <w:tc>
          <w:tcPr>
            <w:tcW w:w="1474" w:type="dxa"/>
          </w:tcPr>
          <w:p w14:paraId="7CF8B10B" w14:textId="77777777" w:rsidR="002479D6" w:rsidRDefault="00000000">
            <w:pPr>
              <w:spacing w:before="40" w:after="40"/>
              <w:jc w:val="left"/>
            </w:pPr>
            <w:r>
              <w:rPr>
                <w:sz w:val="17"/>
              </w:rPr>
              <w:t>30.000</w:t>
            </w:r>
          </w:p>
        </w:tc>
        <w:tc>
          <w:tcPr>
            <w:tcW w:w="1020" w:type="dxa"/>
          </w:tcPr>
          <w:p w14:paraId="6BACE5B5" w14:textId="77777777" w:rsidR="002479D6" w:rsidRDefault="00000000">
            <w:pPr>
              <w:spacing w:before="40" w:after="40"/>
              <w:jc w:val="left"/>
            </w:pPr>
            <w:r>
              <w:rPr>
                <w:sz w:val="17"/>
              </w:rPr>
              <w:t>25</w:t>
            </w:r>
          </w:p>
        </w:tc>
        <w:tc>
          <w:tcPr>
            <w:tcW w:w="1191" w:type="dxa"/>
          </w:tcPr>
          <w:p w14:paraId="62F5548D" w14:textId="77777777" w:rsidR="002479D6" w:rsidRDefault="00000000">
            <w:pPr>
              <w:spacing w:before="40" w:after="40"/>
              <w:jc w:val="left"/>
            </w:pPr>
            <w:r>
              <w:rPr>
                <w:sz w:val="17"/>
              </w:rPr>
              <w:t>22,1 %</w:t>
            </w:r>
          </w:p>
        </w:tc>
        <w:tc>
          <w:tcPr>
            <w:tcW w:w="1984" w:type="dxa"/>
          </w:tcPr>
          <w:p w14:paraId="78B9928A" w14:textId="77777777" w:rsidR="002479D6" w:rsidRDefault="00000000">
            <w:pPr>
              <w:spacing w:before="40" w:after="40"/>
              <w:jc w:val="left"/>
            </w:pPr>
            <w:r>
              <w:rPr>
                <w:sz w:val="17"/>
              </w:rPr>
              <w:t>Ninguno</w:t>
            </w:r>
          </w:p>
        </w:tc>
        <w:tc>
          <w:tcPr>
            <w:tcW w:w="850" w:type="dxa"/>
          </w:tcPr>
          <w:p w14:paraId="0237B8DD" w14:textId="77777777" w:rsidR="002479D6" w:rsidRDefault="00000000">
            <w:pPr>
              <w:spacing w:before="40" w:after="40"/>
              <w:jc w:val="left"/>
            </w:pPr>
            <w:r>
              <w:rPr>
                <w:sz w:val="17"/>
              </w:rPr>
              <w:t>35</w:t>
            </w:r>
          </w:p>
        </w:tc>
      </w:tr>
      <w:tr w:rsidR="002479D6" w14:paraId="70973902" w14:textId="77777777">
        <w:trPr>
          <w:jc w:val="center"/>
        </w:trPr>
        <w:tc>
          <w:tcPr>
            <w:tcW w:w="1814" w:type="dxa"/>
            <w:shd w:val="clear" w:color="auto" w:fill="EDF1F7"/>
          </w:tcPr>
          <w:p w14:paraId="70C86B5F" w14:textId="77777777" w:rsidR="002479D6" w:rsidRDefault="00000000">
            <w:pPr>
              <w:spacing w:before="40" w:after="40"/>
              <w:jc w:val="left"/>
            </w:pPr>
            <w:r>
              <w:rPr>
                <w:b/>
                <w:sz w:val="17"/>
              </w:rPr>
              <w:t>Home Credit Default Risk</w:t>
            </w:r>
          </w:p>
        </w:tc>
        <w:tc>
          <w:tcPr>
            <w:tcW w:w="1077" w:type="dxa"/>
          </w:tcPr>
          <w:p w14:paraId="53CC217C" w14:textId="77777777" w:rsidR="002479D6" w:rsidRDefault="002479D6">
            <w:pPr>
              <w:spacing w:before="40" w:after="40"/>
              <w:jc w:val="left"/>
            </w:pPr>
            <w:hyperlink r:id="rId18">
              <w:r>
                <w:rPr>
                  <w:color w:val="0563C1"/>
                  <w:sz w:val="17"/>
                  <w:u w:val="single"/>
                </w:rPr>
                <w:t>Kaggle</w:t>
              </w:r>
            </w:hyperlink>
          </w:p>
        </w:tc>
        <w:tc>
          <w:tcPr>
            <w:tcW w:w="1474" w:type="dxa"/>
          </w:tcPr>
          <w:p w14:paraId="592D6331" w14:textId="77777777" w:rsidR="002479D6" w:rsidRDefault="00000000">
            <w:pPr>
              <w:spacing w:before="40" w:after="40"/>
              <w:jc w:val="left"/>
            </w:pPr>
            <w:r>
              <w:rPr>
                <w:sz w:val="17"/>
              </w:rPr>
              <w:t>307.511 en la tabla principal</w:t>
            </w:r>
          </w:p>
        </w:tc>
        <w:tc>
          <w:tcPr>
            <w:tcW w:w="1020" w:type="dxa"/>
          </w:tcPr>
          <w:p w14:paraId="3D434424" w14:textId="77777777" w:rsidR="002479D6" w:rsidRDefault="00000000">
            <w:pPr>
              <w:spacing w:before="40" w:after="40"/>
              <w:jc w:val="left"/>
            </w:pPr>
            <w:r>
              <w:rPr>
                <w:sz w:val="17"/>
              </w:rPr>
              <w:t>122 en la tabla principal</w:t>
            </w:r>
          </w:p>
        </w:tc>
        <w:tc>
          <w:tcPr>
            <w:tcW w:w="1191" w:type="dxa"/>
          </w:tcPr>
          <w:p w14:paraId="5899DDC9" w14:textId="77777777" w:rsidR="002479D6" w:rsidRDefault="00000000">
            <w:pPr>
              <w:spacing w:before="40" w:after="40"/>
              <w:jc w:val="left"/>
            </w:pPr>
            <w:r>
              <w:rPr>
                <w:sz w:val="17"/>
              </w:rPr>
              <w:t>8,1 %</w:t>
            </w:r>
          </w:p>
        </w:tc>
        <w:tc>
          <w:tcPr>
            <w:tcW w:w="1984" w:type="dxa"/>
          </w:tcPr>
          <w:p w14:paraId="21DE5784" w14:textId="77777777" w:rsidR="002479D6" w:rsidRPr="00114E96" w:rsidRDefault="00000000">
            <w:pPr>
              <w:spacing w:before="40" w:after="40"/>
              <w:jc w:val="left"/>
              <w:rPr>
                <w:lang w:val="es-ES"/>
              </w:rPr>
            </w:pPr>
            <w:r w:rsidRPr="00114E96">
              <w:rPr>
                <w:sz w:val="17"/>
                <w:lang w:val="es-ES"/>
              </w:rPr>
              <w:t>67 de 122 columnas; 41 por encima del 50 %</w:t>
            </w:r>
          </w:p>
        </w:tc>
        <w:tc>
          <w:tcPr>
            <w:tcW w:w="850" w:type="dxa"/>
          </w:tcPr>
          <w:p w14:paraId="69D02137" w14:textId="77777777" w:rsidR="002479D6" w:rsidRDefault="00000000">
            <w:pPr>
              <w:spacing w:before="40" w:after="40"/>
              <w:jc w:val="left"/>
            </w:pPr>
            <w:r>
              <w:rPr>
                <w:sz w:val="17"/>
              </w:rPr>
              <w:t>0</w:t>
            </w:r>
          </w:p>
        </w:tc>
      </w:tr>
      <w:tr w:rsidR="002479D6" w14:paraId="23037747" w14:textId="77777777">
        <w:trPr>
          <w:jc w:val="center"/>
        </w:trPr>
        <w:tc>
          <w:tcPr>
            <w:tcW w:w="1814" w:type="dxa"/>
            <w:shd w:val="clear" w:color="auto" w:fill="EDF1F7"/>
          </w:tcPr>
          <w:p w14:paraId="7472EF7E" w14:textId="77777777" w:rsidR="002479D6" w:rsidRDefault="00000000">
            <w:pPr>
              <w:spacing w:before="40" w:after="40"/>
              <w:jc w:val="left"/>
            </w:pPr>
            <w:r>
              <w:rPr>
                <w:b/>
                <w:sz w:val="17"/>
              </w:rPr>
              <w:t>Lending Club</w:t>
            </w:r>
          </w:p>
        </w:tc>
        <w:tc>
          <w:tcPr>
            <w:tcW w:w="1077" w:type="dxa"/>
          </w:tcPr>
          <w:p w14:paraId="785AB905" w14:textId="77777777" w:rsidR="002479D6" w:rsidRDefault="002479D6">
            <w:pPr>
              <w:spacing w:before="40" w:after="40"/>
              <w:jc w:val="left"/>
            </w:pPr>
            <w:hyperlink r:id="rId19">
              <w:r>
                <w:rPr>
                  <w:color w:val="0563C1"/>
                  <w:sz w:val="17"/>
                  <w:u w:val="single"/>
                </w:rPr>
                <w:t>Kaggle</w:t>
              </w:r>
            </w:hyperlink>
          </w:p>
        </w:tc>
        <w:tc>
          <w:tcPr>
            <w:tcW w:w="1474" w:type="dxa"/>
          </w:tcPr>
          <w:p w14:paraId="4B78E595" w14:textId="77777777" w:rsidR="002479D6" w:rsidRPr="00114E96" w:rsidRDefault="00000000">
            <w:pPr>
              <w:spacing w:before="40" w:after="40"/>
              <w:jc w:val="left"/>
              <w:rPr>
                <w:lang w:val="es-ES"/>
              </w:rPr>
            </w:pPr>
            <w:r w:rsidRPr="00114E96">
              <w:rPr>
                <w:sz w:val="17"/>
                <w:lang w:val="es-ES"/>
              </w:rPr>
              <w:t>2.260.668, de los que 1.345.310 están cerrados</w:t>
            </w:r>
          </w:p>
        </w:tc>
        <w:tc>
          <w:tcPr>
            <w:tcW w:w="1020" w:type="dxa"/>
          </w:tcPr>
          <w:p w14:paraId="780C6D34" w14:textId="77777777" w:rsidR="002479D6" w:rsidRDefault="00000000">
            <w:pPr>
              <w:spacing w:before="40" w:after="40"/>
              <w:jc w:val="left"/>
            </w:pPr>
            <w:r>
              <w:rPr>
                <w:sz w:val="17"/>
              </w:rPr>
              <w:t>151</w:t>
            </w:r>
          </w:p>
        </w:tc>
        <w:tc>
          <w:tcPr>
            <w:tcW w:w="1191" w:type="dxa"/>
          </w:tcPr>
          <w:p w14:paraId="0FC64932" w14:textId="0D9A9153" w:rsidR="002479D6" w:rsidRDefault="00000000">
            <w:pPr>
              <w:spacing w:before="40" w:after="40"/>
              <w:jc w:val="left"/>
            </w:pPr>
            <w:r>
              <w:rPr>
                <w:sz w:val="17"/>
              </w:rPr>
              <w:t>20,0 %, solo sobre los cerrados</w:t>
            </w:r>
          </w:p>
        </w:tc>
        <w:tc>
          <w:tcPr>
            <w:tcW w:w="1984" w:type="dxa"/>
          </w:tcPr>
          <w:p w14:paraId="44F2CCD2" w14:textId="77777777" w:rsidR="002479D6" w:rsidRPr="00114E96" w:rsidRDefault="00000000">
            <w:pPr>
              <w:spacing w:before="40" w:after="40"/>
              <w:jc w:val="left"/>
              <w:rPr>
                <w:lang w:val="es-ES"/>
              </w:rPr>
            </w:pPr>
            <w:r w:rsidRPr="00114E96">
              <w:rPr>
                <w:sz w:val="17"/>
                <w:lang w:val="es-ES"/>
              </w:rPr>
              <w:t>113 de 151 columnas; 44 por encima del 50 %</w:t>
            </w:r>
          </w:p>
        </w:tc>
        <w:tc>
          <w:tcPr>
            <w:tcW w:w="850" w:type="dxa"/>
          </w:tcPr>
          <w:p w14:paraId="31A85CF9" w14:textId="77777777" w:rsidR="002479D6" w:rsidRDefault="00000000">
            <w:pPr>
              <w:spacing w:before="40" w:after="40"/>
              <w:jc w:val="left"/>
            </w:pPr>
            <w:r>
              <w:rPr>
                <w:sz w:val="17"/>
              </w:rPr>
              <w:t>0</w:t>
            </w:r>
          </w:p>
        </w:tc>
      </w:tr>
    </w:tbl>
    <w:p w14:paraId="5703A8D2" w14:textId="77777777" w:rsidR="002479D6" w:rsidRPr="00114E96" w:rsidRDefault="00000000">
      <w:pPr>
        <w:spacing w:before="60"/>
        <w:rPr>
          <w:lang w:val="es-ES"/>
        </w:rPr>
      </w:pPr>
      <w:r w:rsidRPr="00114E96">
        <w:rPr>
          <w:sz w:val="17"/>
          <w:lang w:val="es-ES"/>
        </w:rPr>
        <w:t>* En South German Credit el 30 % procede de un muestreo estratificado con los créditos malos sobremuestreados; la prevalencia real rondaba el 5 % (</w:t>
      </w:r>
      <w:hyperlink r:id="rId20">
        <w:r w:rsidR="002479D6" w:rsidRPr="00114E96">
          <w:rPr>
            <w:color w:val="0563C1"/>
            <w:sz w:val="17"/>
            <w:u w:val="single"/>
            <w:lang w:val="es-ES"/>
          </w:rPr>
          <w:t>Grömping, 2019</w:t>
        </w:r>
      </w:hyperlink>
      <w:r w:rsidRPr="00114E96">
        <w:rPr>
          <w:sz w:val="17"/>
          <w:lang w:val="es-ES"/>
        </w:rPr>
        <w:t>), así que no es comparable con las tasas de los demás.</w:t>
      </w:r>
    </w:p>
    <w:p w14:paraId="42706BD0" w14:textId="3462E389" w:rsidR="002479D6" w:rsidRPr="00CD4099" w:rsidRDefault="00000000">
      <w:pPr>
        <w:rPr>
          <w:lang w:val="es-ES"/>
        </w:rPr>
      </w:pPr>
      <w:r w:rsidRPr="00114E96">
        <w:rPr>
          <w:lang w:val="es-ES"/>
        </w:rPr>
        <w:t xml:space="preserve">De los cinco, el de Taiwán parece el más adecuado como conjunto principal: sus 30.000 observaciones y 23 variables predictoras dan tamaño suficiente para reentrenar decenas de veces sin que el coste de cómputo se dispare, no tiene valores perdidos y es el que usan </w:t>
      </w:r>
      <w:hyperlink r:id="rId21">
        <w:r w:rsidR="002479D6" w:rsidRPr="00114E96">
          <w:rPr>
            <w:color w:val="0563C1"/>
            <w:u w:val="single"/>
            <w:lang w:val="es-ES"/>
          </w:rPr>
          <w:t>Lin y Wang (2025)</w:t>
        </w:r>
      </w:hyperlink>
      <w:r w:rsidR="00114E96">
        <w:rPr>
          <w:lang w:val="es-ES"/>
        </w:rPr>
        <w:t xml:space="preserve"> en un estudio de XGBoost y SHAP en el credit scoring</w:t>
      </w:r>
      <w:r w:rsidRPr="00114E96">
        <w:rPr>
          <w:lang w:val="es-ES"/>
        </w:rPr>
        <w:t>, lo que permite contrastar los resultados</w:t>
      </w:r>
      <w:r w:rsidR="00CD4099">
        <w:rPr>
          <w:lang w:val="es-ES"/>
        </w:rPr>
        <w:t>.</w:t>
      </w:r>
    </w:p>
    <w:sectPr w:rsidR="002479D6" w:rsidRPr="00CD4099"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80690547">
    <w:abstractNumId w:val="8"/>
  </w:num>
  <w:num w:numId="2" w16cid:durableId="1114208995">
    <w:abstractNumId w:val="6"/>
  </w:num>
  <w:num w:numId="3" w16cid:durableId="690186464">
    <w:abstractNumId w:val="5"/>
  </w:num>
  <w:num w:numId="4" w16cid:durableId="11231040">
    <w:abstractNumId w:val="4"/>
  </w:num>
  <w:num w:numId="5" w16cid:durableId="1518882700">
    <w:abstractNumId w:val="7"/>
  </w:num>
  <w:num w:numId="6" w16cid:durableId="2129425989">
    <w:abstractNumId w:val="3"/>
  </w:num>
  <w:num w:numId="7" w16cid:durableId="2034190563">
    <w:abstractNumId w:val="2"/>
  </w:num>
  <w:num w:numId="8" w16cid:durableId="1596547431">
    <w:abstractNumId w:val="1"/>
  </w:num>
  <w:num w:numId="9" w16cid:durableId="1824809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E96"/>
    <w:rsid w:val="0015074B"/>
    <w:rsid w:val="002479D6"/>
    <w:rsid w:val="0029639D"/>
    <w:rsid w:val="00326F90"/>
    <w:rsid w:val="005655BD"/>
    <w:rsid w:val="00AA1D8D"/>
    <w:rsid w:val="00B4277C"/>
    <w:rsid w:val="00B47730"/>
    <w:rsid w:val="00CB0664"/>
    <w:rsid w:val="00CD4099"/>
    <w:rsid w:val="00DD1E5B"/>
    <w:rsid w:val="00F809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F8403"/>
  <w14:defaultImageDpi w14:val="300"/>
  <w15:docId w15:val="{E6CFA908-A307-474C-853B-45C179196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libri" w:hAnsi="Calibri"/>
    </w:rPr>
  </w:style>
  <w:style w:type="paragraph" w:styleId="Ttulo1">
    <w:name w:val="heading 1"/>
    <w:basedOn w:val="Normal"/>
    <w:next w:val="Normal"/>
    <w:link w:val="Ttulo1Car"/>
    <w:uiPriority w:val="9"/>
    <w:qFormat/>
    <w:rsid w:val="00FC693F"/>
    <w:pPr>
      <w:keepNext/>
      <w:keepLines/>
      <w:spacing w:before="280" w:after="120"/>
      <w:jc w:val="left"/>
      <w:outlineLvl w:val="0"/>
    </w:pPr>
    <w:rPr>
      <w:rFonts w:asciiTheme="majorHAnsi" w:eastAsiaTheme="majorEastAsia" w:hAnsiTheme="majorHAnsi" w:cstheme="majorBidi"/>
      <w:b/>
      <w:bCs/>
      <w:color w:val="1F3B63"/>
      <w:sz w:val="30"/>
      <w:szCs w:val="28"/>
    </w:rPr>
  </w:style>
  <w:style w:type="paragraph" w:styleId="Ttulo2">
    <w:name w:val="heading 2"/>
    <w:basedOn w:val="Normal"/>
    <w:next w:val="Normal"/>
    <w:link w:val="Ttulo2Car"/>
    <w:uiPriority w:val="9"/>
    <w:unhideWhenUsed/>
    <w:qFormat/>
    <w:rsid w:val="00FC693F"/>
    <w:pPr>
      <w:keepNext/>
      <w:keepLines/>
      <w:spacing w:before="200" w:after="120"/>
      <w:jc w:val="left"/>
      <w:outlineLvl w:val="1"/>
    </w:pPr>
    <w:rPr>
      <w:rFonts w:asciiTheme="majorHAnsi" w:eastAsiaTheme="majorEastAsia" w:hAnsiTheme="majorHAnsi" w:cstheme="majorBidi"/>
      <w:b/>
      <w:bCs/>
      <w:color w:val="1F3B63"/>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0/01605682.2025.2485263" TargetMode="External"/><Relationship Id="rId13" Type="http://schemas.openxmlformats.org/officeDocument/2006/relationships/hyperlink" Target="https://doi.org/10.1016/j.ejor.2015.05.030" TargetMode="External"/><Relationship Id="rId18" Type="http://schemas.openxmlformats.org/officeDocument/2006/relationships/hyperlink" Target="https://www.kaggle.com/c/home-credit-default-risk" TargetMode="External"/><Relationship Id="rId3" Type="http://schemas.openxmlformats.org/officeDocument/2006/relationships/styles" Target="styles.xml"/><Relationship Id="rId21" Type="http://schemas.openxmlformats.org/officeDocument/2006/relationships/hyperlink" Target="https://doi.org/10.3390/risks13120238" TargetMode="External"/><Relationship Id="rId7" Type="http://schemas.openxmlformats.org/officeDocument/2006/relationships/hyperlink" Target="https://doi.org/10.3390/risks13120238" TargetMode="External"/><Relationship Id="rId12" Type="http://schemas.openxmlformats.org/officeDocument/2006/relationships/hyperlink" Target="https://doi.org/10.1145/2939672.2939785" TargetMode="External"/><Relationship Id="rId17" Type="http://schemas.openxmlformats.org/officeDocument/2006/relationships/hyperlink" Target="https://archive.ics.uci.edu/dataset/350/default+of+credit+card+clients" TargetMode="External"/><Relationship Id="rId2" Type="http://schemas.openxmlformats.org/officeDocument/2006/relationships/numbering" Target="numbering.xml"/><Relationship Id="rId16" Type="http://schemas.openxmlformats.org/officeDocument/2006/relationships/hyperlink" Target="https://archive.ics.uci.edu/dataset/573/south+german+credit" TargetMode="External"/><Relationship Id="rId20" Type="http://schemas.openxmlformats.org/officeDocument/2006/relationships/hyperlink" Target="https://www1.beuth-hochschule.de/FB_II/reports/Report-2019-004.pdf" TargetMode="External"/><Relationship Id="rId1" Type="http://schemas.openxmlformats.org/officeDocument/2006/relationships/customXml" Target="../customXml/item1.xml"/><Relationship Id="rId6" Type="http://schemas.openxmlformats.org/officeDocument/2006/relationships/hyperlink" Target="https://doi.org/10.1016/j.ejor.2015.05.030" TargetMode="External"/><Relationship Id="rId11" Type="http://schemas.openxmlformats.org/officeDocument/2006/relationships/hyperlink" Target="https://doi.org/10.1038/s42256-019-0138-9" TargetMode="External"/><Relationship Id="rId5" Type="http://schemas.openxmlformats.org/officeDocument/2006/relationships/webSettings" Target="webSettings.xml"/><Relationship Id="rId15" Type="http://schemas.openxmlformats.org/officeDocument/2006/relationships/hyperlink" Target="https://www.kaggle.com/c/GiveMeSomeCredit" TargetMode="External"/><Relationship Id="rId23" Type="http://schemas.openxmlformats.org/officeDocument/2006/relationships/theme" Target="theme/theme1.xml"/><Relationship Id="rId10" Type="http://schemas.openxmlformats.org/officeDocument/2006/relationships/hyperlink" Target="https://proceedings.neurips.cc/paper_files/paper/2017/hash/8a20a8621978632d76c43dfd28b67767-Abstract.html" TargetMode="External"/><Relationship Id="rId19" Type="http://schemas.openxmlformats.org/officeDocument/2006/relationships/hyperlink" Target="https://www.kaggle.com/datasets/wordsforthewise/lending-club" TargetMode="External"/><Relationship Id="rId4" Type="http://schemas.openxmlformats.org/officeDocument/2006/relationships/settings" Target="settings.xml"/><Relationship Id="rId9" Type="http://schemas.openxmlformats.org/officeDocument/2006/relationships/hyperlink" Target="https://arxiv.org/abs/1602.04938" TargetMode="External"/><Relationship Id="rId14" Type="http://schemas.openxmlformats.org/officeDocument/2006/relationships/hyperlink" Target="https://doi.org/10.3390/risks13120238"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1446</Words>
  <Characters>7959</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Explicabilidad de modelos de caja negra en credit scoring. Informe de la fase inicial</vt:lpstr>
      <vt:lpstr/>
    </vt:vector>
  </TitlesOfParts>
  <Manager/>
  <Company/>
  <LinksUpToDate>false</LinksUpToDate>
  <CharactersWithSpaces>9387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Explicabilidad de modelos de caja negra en credit scoring. Informe de la fase inicial</dc:title>
  <dc:subject>Trabajo de Fin de Grado. Grado en Ciencia e Ingeniería de Datos, Universidade da Coruña</dc:subject>
  <dc:creator>Álvaro Pérez</dc:creator>
  <cp:keywords/>
  <dc:description/>
  <cp:lastModifiedBy>Álvaro Pérez Rodríguez</cp:lastModifiedBy>
  <cp:revision>4</cp:revision>
  <dcterms:created xsi:type="dcterms:W3CDTF">2026-09-12T10:00:00Z</dcterms:created>
  <dcterms:modified xsi:type="dcterms:W3CDTF">2026-09-14T03:45:00Z</dcterms:modified>
  <cp:category/>
</cp:coreProperties>
</file>