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644BF" w14:textId="77777777" w:rsidR="00C15E05" w:rsidRDefault="00000000">
      <w:pPr>
        <w:pStyle w:val="Ttulo1"/>
        <w:spacing w:before="320" w:after="160"/>
      </w:pPr>
      <w:r>
        <w:t>Contenido del informe</w:t>
      </w:r>
    </w:p>
    <w:p w14:paraId="3B780D28" w14:textId="77777777" w:rsidR="00C15E05" w:rsidRDefault="00000000">
      <w:pPr>
        <w:spacing w:after="120"/>
      </w:pPr>
      <w:r>
        <w:t>Esta primera entrega recoge el trabajo previo al desarrollo del TFG y consta de cuatro partes:</w:t>
      </w:r>
    </w:p>
    <w:p w14:paraId="079D9319" w14:textId="77777777" w:rsidR="00C15E05" w:rsidRDefault="00000000">
      <w:pPr>
        <w:pStyle w:val="Prrafodelista"/>
        <w:numPr>
          <w:ilvl w:val="0"/>
          <w:numId w:val="2"/>
        </w:numPr>
        <w:spacing w:after="80"/>
      </w:pPr>
      <w:r>
        <w:rPr>
          <w:b/>
          <w:bCs/>
        </w:rPr>
        <w:t xml:space="preserve">Datasets: </w:t>
      </w:r>
      <w:r>
        <w:t>cinco conjuntos de datos públicos de credit scoring candidatos, con una ficha por dataset (fuente, año, descripción, tamaño, variables, variable objetivo con su definición de impago, formato, licencia y observaciones), una tabla comparativa con las cifras calculadas sobre los ficheros descargados y la elección razonada de los dos que se usarán. Las cifras proceden del notebook TFG_analisis_</w:t>
      </w:r>
      <w:proofErr w:type="gramStart"/>
      <w:r>
        <w:t>datasets.ipynb</w:t>
      </w:r>
      <w:proofErr w:type="gramEnd"/>
      <w:r>
        <w:t>, que se entrega junto a este informe y que las calcula sobre los ficheros descargados.</w:t>
      </w:r>
    </w:p>
    <w:p w14:paraId="4320D836" w14:textId="77777777" w:rsidR="00C15E05" w:rsidRDefault="00000000">
      <w:pPr>
        <w:pStyle w:val="Prrafodelista"/>
        <w:numPr>
          <w:ilvl w:val="0"/>
          <w:numId w:val="2"/>
        </w:numPr>
        <w:spacing w:after="80"/>
      </w:pPr>
      <w:r>
        <w:rPr>
          <w:b/>
          <w:bCs/>
        </w:rPr>
        <w:t xml:space="preserve">Revisión de la literatura: </w:t>
      </w:r>
      <w:r>
        <w:t>bibliografía comentada en dos bloques. Fundamentos: la XAI en general, SHAP y TreeSHAP, XGBoost, el benchmark de clasificadores en credit scoring, las familias alternativas de explicación (LIME, contrafactuales), el problema de la dependencia entre variables en los valores de Shapley y la posición crítica con las explicaciones post-hoc. Trabajos previos: aplicaciones de XAI al riesgo de crédito y los estudios sobre estabilidad de las explicaciones, con lo que aporta cada uno a este trabajo.</w:t>
      </w:r>
    </w:p>
    <w:p w14:paraId="5E1356F3" w14:textId="77777777" w:rsidR="00C15E05" w:rsidRDefault="00000000">
      <w:pPr>
        <w:pStyle w:val="Prrafodelista"/>
        <w:numPr>
          <w:ilvl w:val="0"/>
          <w:numId w:val="2"/>
        </w:numPr>
        <w:spacing w:after="80"/>
      </w:pPr>
      <w:r>
        <w:rPr>
          <w:b/>
          <w:bCs/>
        </w:rPr>
        <w:t xml:space="preserve">Propuesta de trabajo: </w:t>
      </w:r>
      <w:r>
        <w:t>los cuatro análisis que se plantean (concordancia con la regresión logística, estabilidad ante el reentrenamiento, estabilidad ante el conjunto de referencia, consistencia y coherencia), qué añaden respecto a la literatura y las decisiones que quedan por tomar.</w:t>
      </w:r>
    </w:p>
    <w:p w14:paraId="26FB7F1F" w14:textId="77777777" w:rsidR="00C15E05" w:rsidRDefault="00000000">
      <w:pPr>
        <w:pStyle w:val="Prrafodelista"/>
        <w:numPr>
          <w:ilvl w:val="0"/>
          <w:numId w:val="2"/>
        </w:numPr>
        <w:spacing w:after="80"/>
      </w:pPr>
      <w:r>
        <w:rPr>
          <w:b/>
          <w:bCs/>
        </w:rPr>
        <w:t xml:space="preserve">Notebook: </w:t>
      </w:r>
      <w:r>
        <w:t>junto al informe se entregan dos notebooks de Jupyter: TFG_analisis_</w:t>
      </w:r>
      <w:proofErr w:type="gramStart"/>
      <w:r>
        <w:t>datasets.ipynb</w:t>
      </w:r>
      <w:proofErr w:type="gramEnd"/>
      <w:r>
        <w:t>, con el análisis de los cinco conjuntos candidatos, y TFG_SHAP_credit_</w:t>
      </w:r>
      <w:proofErr w:type="gramStart"/>
      <w:r>
        <w:t>scoring.ipynb</w:t>
      </w:r>
      <w:proofErr w:type="gramEnd"/>
      <w:r>
        <w:t>, con una primera puesta en práctica de lo anterior sobre el dataset de Taiwán: carga y limpieza, regresión logística y XGBoost entrenados sobre las mismas particiones, explicaciones SHAP de ambos y una primera versión de los cuatro análisis. Los resultados son orientativos: se han usado 20 reentrenamientos como cifra provisional.</w:t>
      </w:r>
    </w:p>
    <w:p w14:paraId="19488FBF" w14:textId="77777777" w:rsidR="00C15E05" w:rsidRDefault="00000000">
      <w:pPr>
        <w:pStyle w:val="Ttulo1"/>
        <w:spacing w:before="320" w:after="160"/>
      </w:pPr>
      <w:r>
        <w:t>Datasets</w:t>
      </w:r>
    </w:p>
    <w:p w14:paraId="0FBF50CE" w14:textId="77777777" w:rsidR="00C15E05" w:rsidRDefault="00000000">
      <w:pPr>
        <w:pStyle w:val="Ttulo2"/>
        <w:spacing w:before="240" w:after="120"/>
      </w:pPr>
      <w:r>
        <w:t>1. Give Me Some Credit</w:t>
      </w:r>
    </w:p>
    <w:p w14:paraId="398BAE13" w14:textId="77777777" w:rsidR="00C15E05" w:rsidRDefault="00000000">
      <w:pPr>
        <w:pStyle w:val="Prrafodelista"/>
        <w:numPr>
          <w:ilvl w:val="0"/>
          <w:numId w:val="2"/>
        </w:numPr>
        <w:spacing w:after="80"/>
      </w:pPr>
      <w:r>
        <w:rPr>
          <w:b/>
          <w:bCs/>
        </w:rPr>
        <w:t xml:space="preserve">Fuente: </w:t>
      </w:r>
      <w:hyperlink r:id="rId5" w:history="1">
        <w:r>
          <w:rPr>
            <w:rStyle w:val="Hipervnculo"/>
          </w:rPr>
          <w:t>Competición de Kaggle</w:t>
        </w:r>
      </w:hyperlink>
    </w:p>
    <w:p w14:paraId="3EA1F46E" w14:textId="77777777" w:rsidR="00C15E05" w:rsidRDefault="00000000">
      <w:pPr>
        <w:pStyle w:val="Prrafodelista"/>
        <w:numPr>
          <w:ilvl w:val="0"/>
          <w:numId w:val="2"/>
        </w:numPr>
        <w:spacing w:after="80"/>
      </w:pPr>
      <w:r>
        <w:rPr>
          <w:b/>
          <w:bCs/>
        </w:rPr>
        <w:t xml:space="preserve">Año: </w:t>
      </w:r>
      <w:r>
        <w:t>2011</w:t>
      </w:r>
    </w:p>
    <w:p w14:paraId="662AFE85" w14:textId="77777777" w:rsidR="00C15E05" w:rsidRDefault="00000000">
      <w:pPr>
        <w:pStyle w:val="Prrafodelista"/>
        <w:numPr>
          <w:ilvl w:val="0"/>
          <w:numId w:val="2"/>
        </w:numPr>
        <w:spacing w:after="80"/>
      </w:pPr>
      <w:r>
        <w:rPr>
          <w:b/>
          <w:bCs/>
        </w:rPr>
        <w:t xml:space="preserve">Descripción: </w:t>
      </w:r>
      <w:r>
        <w:t>Datos de clientes bancarios de una competición de Kaggle. Cada fila es un cliente con información sobre ingresos mensuales, ratio deuda/ingresos, utilización de líneas de crédito, número de líneas de crédito e hipotecas abiertas, retrasos en pagos en los últimos meses, edad y número de dependientes. La competición no documenta la entidad de origen de los datos.</w:t>
      </w:r>
    </w:p>
    <w:p w14:paraId="1A731700" w14:textId="77777777" w:rsidR="00C15E05" w:rsidRDefault="00000000">
      <w:pPr>
        <w:pStyle w:val="Prrafodelista"/>
        <w:numPr>
          <w:ilvl w:val="0"/>
          <w:numId w:val="2"/>
        </w:numPr>
        <w:spacing w:after="80"/>
      </w:pPr>
      <w:r>
        <w:rPr>
          <w:b/>
          <w:bCs/>
        </w:rPr>
        <w:t xml:space="preserve">Nº de muestras: </w:t>
      </w:r>
      <w:r>
        <w:t xml:space="preserve">150.000 clientes etiquetados en cs-training.csv. El fichero </w:t>
      </w:r>
      <w:proofErr w:type="gramStart"/>
      <w:r>
        <w:t>de test</w:t>
      </w:r>
      <w:proofErr w:type="gramEnd"/>
      <w:r>
        <w:t xml:space="preserve"> tiene 101.503 </w:t>
      </w:r>
      <w:proofErr w:type="gramStart"/>
      <w:r>
        <w:t>filas</w:t>
      </w:r>
      <w:proofErr w:type="gramEnd"/>
      <w:r>
        <w:t xml:space="preserve"> pero no trae la etiqueta, así que no sirve para evaluar.</w:t>
      </w:r>
    </w:p>
    <w:p w14:paraId="4C4616F1" w14:textId="77777777" w:rsidR="00C15E05" w:rsidRDefault="00000000">
      <w:pPr>
        <w:pStyle w:val="Prrafodelista"/>
        <w:numPr>
          <w:ilvl w:val="0"/>
          <w:numId w:val="2"/>
        </w:numPr>
        <w:spacing w:after="80"/>
      </w:pPr>
      <w:r>
        <w:rPr>
          <w:b/>
          <w:bCs/>
        </w:rPr>
        <w:t xml:space="preserve">Nº de variables: </w:t>
      </w:r>
      <w:r>
        <w:t>10 variables predictoras, todas numéricas.</w:t>
      </w:r>
    </w:p>
    <w:p w14:paraId="37EB0161" w14:textId="77777777" w:rsidR="00C15E05" w:rsidRDefault="00000000">
      <w:pPr>
        <w:pStyle w:val="Prrafodelista"/>
        <w:numPr>
          <w:ilvl w:val="0"/>
          <w:numId w:val="2"/>
        </w:numPr>
        <w:spacing w:after="80"/>
      </w:pPr>
      <w:r>
        <w:rPr>
          <w:b/>
          <w:bCs/>
        </w:rPr>
        <w:t xml:space="preserve">Variable objetivo: </w:t>
      </w:r>
      <w:r>
        <w:t>SeriousDlqin2yrs. Se considera impago (valor 1) que el cliente sufra un retraso de 90 días o más en los dos años siguientes. Tasa de impago: 6,7 % (10.026 de 150.000 clientes). Desequilibrio fuerte: 14,0 clientes sin impago por cada uno con impago.</w:t>
      </w:r>
    </w:p>
    <w:p w14:paraId="4DA0BA4F" w14:textId="77777777" w:rsidR="00C15E05" w:rsidRDefault="00000000">
      <w:pPr>
        <w:pStyle w:val="Prrafodelista"/>
        <w:numPr>
          <w:ilvl w:val="0"/>
          <w:numId w:val="2"/>
        </w:numPr>
        <w:spacing w:after="80"/>
      </w:pPr>
      <w:r>
        <w:rPr>
          <w:b/>
          <w:bCs/>
        </w:rPr>
        <w:t xml:space="preserve">Formato de los datos: </w:t>
      </w:r>
      <w:r>
        <w:t>Cuatro ficheros: cs-training.csv (datos etiquetados), cs-test.csv (sin etiqueta), Data Dictionary.xls (descripción de las variables) y sampleEntry.csv (plantilla de envío de la competición, sin utilidad). Valores perdidos solo en dos variables: MonthlyIncome (29.731 filas, 19,8 %) y NumberOfDependents (3.924 filas, 2,6 %).</w:t>
      </w:r>
    </w:p>
    <w:p w14:paraId="2A183AE6" w14:textId="77777777" w:rsidR="00C15E05" w:rsidRDefault="00000000">
      <w:pPr>
        <w:pStyle w:val="Prrafodelista"/>
        <w:numPr>
          <w:ilvl w:val="0"/>
          <w:numId w:val="2"/>
        </w:numPr>
        <w:spacing w:after="80"/>
      </w:pPr>
      <w:r>
        <w:rPr>
          <w:b/>
          <w:bCs/>
        </w:rPr>
        <w:lastRenderedPageBreak/>
        <w:t xml:space="preserve">Licencia y cita: </w:t>
      </w:r>
      <w:r>
        <w:t xml:space="preserve">datos de la competición de Kaggle (2011), patrocinada por Credit Fusion; el uso de los datos se rige por las reglas de esa competición. </w:t>
      </w:r>
      <w:r w:rsidRPr="00E672BD">
        <w:rPr>
          <w:lang w:val="en-US"/>
        </w:rPr>
        <w:t xml:space="preserve">Cita: Credit Fusion y Cukierski, W. (2011). Give Me Some Credit. </w:t>
      </w:r>
      <w:r>
        <w:t>Kaggle. https://www.kaggle.com/c/GiveMeSomeCredit.</w:t>
      </w:r>
    </w:p>
    <w:p w14:paraId="7E9846FE" w14:textId="77777777" w:rsidR="00C15E05" w:rsidRDefault="00000000">
      <w:pPr>
        <w:pStyle w:val="Prrafodelista"/>
        <w:numPr>
          <w:ilvl w:val="0"/>
          <w:numId w:val="2"/>
        </w:numPr>
        <w:spacing w:after="80"/>
      </w:pPr>
      <w:r>
        <w:rPr>
          <w:b/>
          <w:bCs/>
        </w:rPr>
        <w:t xml:space="preserve">Observaciones: </w:t>
      </w:r>
      <w:r>
        <w:t>Anomalías que hay que tratar antes de modelar. Una fila con edad 0. RevolvingUtilizationOfUnsecuredLines y DebtRatio son cocientes que no están acotados por 1 (se puede deber más del límite concedido y se puede gastar más de lo que se ingresa), así que superar 1 no es en sí una anomalía: en RevolvingUtilizationOfUnsecuredLines ocurre en 3.321 filas. Lo que sí llama la atención es el salto de magnitud, con 241 filas por encima de 10 y 172 por encima de 1.000 (máximo 50.708). Con DebtRatio el problema es distinto: en las 29.731 filas sin MonthlyIncome su mediana es 1.159 y el 100 % de los valores son enteros, frente a 0,30 y 3,6 % en el resto, lo que indica que la columna guarda dos cosas distintas, un cociente cuando hay ingresos con los que dividir y el importe de deuda sin dividir cuando no los hay. Los códigos 96 y 98 aparecen a la vez en las tres variables de retraso en 269 filas, probablemente como códigos centinela. Hay además 609 filas duplicadas. Se trabajaría solo con cs-training.csv, con una partición propia de entrenamiento y test.</w:t>
      </w:r>
    </w:p>
    <w:p w14:paraId="32E87C61" w14:textId="77777777" w:rsidR="00C15E05" w:rsidRDefault="00000000">
      <w:pPr>
        <w:pStyle w:val="Ttulo2"/>
        <w:spacing w:before="240" w:after="120"/>
      </w:pPr>
      <w:r>
        <w:t>2. South German Credit</w:t>
      </w:r>
    </w:p>
    <w:p w14:paraId="1BF863B1" w14:textId="77777777" w:rsidR="00C15E05" w:rsidRPr="00E672BD" w:rsidRDefault="00000000">
      <w:pPr>
        <w:pStyle w:val="Prrafodelista"/>
        <w:numPr>
          <w:ilvl w:val="0"/>
          <w:numId w:val="2"/>
        </w:numPr>
        <w:spacing w:after="80"/>
        <w:rPr>
          <w:lang w:val="en-US"/>
        </w:rPr>
      </w:pPr>
      <w:r w:rsidRPr="00E672BD">
        <w:rPr>
          <w:b/>
          <w:bCs/>
          <w:lang w:val="en-US"/>
        </w:rPr>
        <w:t xml:space="preserve">Fuente: </w:t>
      </w:r>
      <w:hyperlink r:id="rId6" w:history="1">
        <w:r w:rsidRPr="00E672BD">
          <w:rPr>
            <w:rStyle w:val="Hipervnculo"/>
            <w:lang w:val="en-US"/>
          </w:rPr>
          <w:t xml:space="preserve">UCI Machine Learning </w:t>
        </w:r>
        <w:proofErr w:type="gramStart"/>
        <w:r w:rsidRPr="00E672BD">
          <w:rPr>
            <w:rStyle w:val="Hipervnculo"/>
            <w:lang w:val="en-US"/>
          </w:rPr>
          <w:t>Repository, #</w:t>
        </w:r>
        <w:proofErr w:type="gramEnd"/>
        <w:r w:rsidRPr="00E672BD">
          <w:rPr>
            <w:rStyle w:val="Hipervnculo"/>
            <w:lang w:val="en-US"/>
          </w:rPr>
          <w:t>573</w:t>
        </w:r>
      </w:hyperlink>
    </w:p>
    <w:p w14:paraId="23153799" w14:textId="77777777" w:rsidR="00C15E05" w:rsidRDefault="00000000">
      <w:pPr>
        <w:pStyle w:val="Prrafodelista"/>
        <w:numPr>
          <w:ilvl w:val="0"/>
          <w:numId w:val="2"/>
        </w:numPr>
        <w:spacing w:after="80"/>
      </w:pPr>
      <w:r>
        <w:rPr>
          <w:b/>
          <w:bCs/>
        </w:rPr>
        <w:t xml:space="preserve">Año: </w:t>
      </w:r>
      <w:r>
        <w:t>Datos recogidos entre 1973 y 1975. La versión corregida se donó a UCI en 2019 (entrada #522) y se actualizó en 2020 (entrada #573, que es la enlazada).</w:t>
      </w:r>
    </w:p>
    <w:p w14:paraId="0002A833" w14:textId="77777777" w:rsidR="00C15E05" w:rsidRDefault="00000000">
      <w:pPr>
        <w:pStyle w:val="Prrafodelista"/>
        <w:numPr>
          <w:ilvl w:val="0"/>
          <w:numId w:val="2"/>
        </w:numPr>
        <w:spacing w:after="80"/>
      </w:pPr>
      <w:r>
        <w:rPr>
          <w:b/>
          <w:bCs/>
        </w:rPr>
        <w:t xml:space="preserve">Descripción: </w:t>
      </w:r>
      <w:r>
        <w:t>Solicitudes de crédito de un banco del sur de Alemania. Es la revisión (Grömping, 2019) del conocido German Credit / Statlog (UCI #144, 1994), en la que se corrigieron errores de codificación y de documentación de la versión original, por lo que es preferible usar esta versión si se quiere trabajar con los datos y la documentación corregidos. Incluye situación de la cuenta corriente, historial crediticio, propósito e importe del préstamo, ahorros, situación laboral y antigüedad, edad, vivienda y número de créditos existentes.</w:t>
      </w:r>
    </w:p>
    <w:p w14:paraId="00FB682D" w14:textId="77777777" w:rsidR="00C15E05" w:rsidRDefault="00000000">
      <w:pPr>
        <w:pStyle w:val="Prrafodelista"/>
        <w:numPr>
          <w:ilvl w:val="0"/>
          <w:numId w:val="2"/>
        </w:numPr>
        <w:spacing w:after="80"/>
      </w:pPr>
      <w:r>
        <w:rPr>
          <w:b/>
          <w:bCs/>
        </w:rPr>
        <w:t xml:space="preserve">Nº de muestras: </w:t>
      </w:r>
      <w:r>
        <w:t>1.000 observaciones.</w:t>
      </w:r>
    </w:p>
    <w:p w14:paraId="47D829F1" w14:textId="77777777" w:rsidR="00C15E05" w:rsidRDefault="00000000">
      <w:pPr>
        <w:pStyle w:val="Prrafodelista"/>
        <w:numPr>
          <w:ilvl w:val="0"/>
          <w:numId w:val="2"/>
        </w:numPr>
        <w:spacing w:after="80"/>
      </w:pPr>
      <w:r>
        <w:rPr>
          <w:b/>
          <w:bCs/>
        </w:rPr>
        <w:t xml:space="preserve">Nº de variables: </w:t>
      </w:r>
      <w:r>
        <w:t>20 variables predictoras, codificadas numéricamente; 17 de las 20 son categóricas según codetable.txt, y las otras tres (laufzeit, hoehe, alter) son cuantitativas.</w:t>
      </w:r>
    </w:p>
    <w:p w14:paraId="4ACDCE93" w14:textId="77777777" w:rsidR="00C15E05" w:rsidRDefault="00000000">
      <w:pPr>
        <w:pStyle w:val="Prrafodelista"/>
        <w:numPr>
          <w:ilvl w:val="0"/>
          <w:numId w:val="2"/>
        </w:numPr>
        <w:spacing w:after="80"/>
      </w:pPr>
      <w:r>
        <w:rPr>
          <w:b/>
          <w:bCs/>
        </w:rPr>
        <w:t xml:space="preserve">Variable objetivo: </w:t>
      </w:r>
      <w:r>
        <w:t>kredit. Vale 1 si el crédito resultó bueno y 0 si resultó malo; se considera impago el valor 0. Tasa de impago: 30,0 % (300 de 1.000 créditos). Desequilibrio moderado: 2,3 créditos buenos por cada uno malo. Ese 30 % no es una tasa poblacional: según Grömping (2019) la muestra es estratificada, con los créditos malos fuertemente sobremuestreados, y la prevalencia real de impago rondaba el 5 %. Con los datos Statlog (UCI #144) se sugirió además una matriz de coste que penaliza cinco veces más clasificar un crédito malo como bueno que al revés; UCI no la distribuye con esta versión, solo indica que puede usarse.</w:t>
      </w:r>
    </w:p>
    <w:p w14:paraId="547AC960" w14:textId="77777777" w:rsidR="00C15E05" w:rsidRDefault="00000000">
      <w:pPr>
        <w:pStyle w:val="Prrafodelista"/>
        <w:numPr>
          <w:ilvl w:val="0"/>
          <w:numId w:val="2"/>
        </w:numPr>
        <w:spacing w:after="80"/>
      </w:pPr>
      <w:r>
        <w:rPr>
          <w:b/>
          <w:bCs/>
        </w:rPr>
        <w:t xml:space="preserve">Formato de los datos: </w:t>
      </w:r>
      <w:r>
        <w:t>El paquete de UCI trae cuatro ficheros: los datos con los códigos numéricos separados por espacios (SouthGermanCredit.asc) y una copia separada por comas (SouthGermanCredit.csv), la tabla de códigos (codetable.txt) y un script de R para decodificarlos (read_SouthGermanCredit.R). Hay que decodificar las categorías antes de usar los datos. No hay valores perdidos.</w:t>
      </w:r>
    </w:p>
    <w:p w14:paraId="058C37E7" w14:textId="77777777" w:rsidR="00C15E05" w:rsidRDefault="00000000">
      <w:pPr>
        <w:pStyle w:val="Prrafodelista"/>
        <w:numPr>
          <w:ilvl w:val="0"/>
          <w:numId w:val="2"/>
        </w:numPr>
        <w:spacing w:after="80"/>
      </w:pPr>
      <w:r>
        <w:rPr>
          <w:b/>
          <w:bCs/>
        </w:rPr>
        <w:t xml:space="preserve">Licencia y cita: </w:t>
      </w:r>
      <w:r>
        <w:t xml:space="preserve">CC BY 4.0. Cita recomendada por UCI: South German Credit (2020). </w:t>
      </w:r>
      <w:r w:rsidRPr="00E672BD">
        <w:rPr>
          <w:lang w:val="en-US"/>
        </w:rPr>
        <w:t xml:space="preserve">UCI Machine Learning Repository. https://doi.org/10.24432/C5QG88. Documentación: Grömping, U. (2019). South German Credit Data: Correcting a Widely Used Data Set. </w:t>
      </w:r>
      <w:r>
        <w:t>Report 4/2019, Beuth University of Applied Sciences Berlin.</w:t>
      </w:r>
    </w:p>
    <w:p w14:paraId="6F494C17" w14:textId="77777777" w:rsidR="00C15E05" w:rsidRDefault="00000000">
      <w:pPr>
        <w:pStyle w:val="Prrafodelista"/>
        <w:numPr>
          <w:ilvl w:val="0"/>
          <w:numId w:val="2"/>
        </w:numPr>
        <w:spacing w:after="80"/>
      </w:pPr>
      <w:r>
        <w:rPr>
          <w:b/>
          <w:bCs/>
        </w:rPr>
        <w:t xml:space="preserve">Observaciones: </w:t>
      </w:r>
      <w:r>
        <w:t xml:space="preserve">Comprobada la codificación contra codetable.txt: ninguna de las 18 variables con códigos documentados contiene valores fuera de la tabla, y las tres cuantitativas están en rangos plausibles (duración de 4 a 72 meses, importe de 250 a 18.424 DM, edad de 19 a 75 </w:t>
      </w:r>
      <w:r>
        <w:lastRenderedPageBreak/>
        <w:t>años). No hay valores perdidos. El German Credit original es uno de los datasets más usados en la literatura de XAI aplicada a crédito. Su tamaño reducido permite estudiar si un tamaño muestral pequeño se asocia a una mayor variabilidad de las explicaciones entre reentrenamientos.</w:t>
      </w:r>
    </w:p>
    <w:p w14:paraId="69F910E1" w14:textId="77777777" w:rsidR="00C15E05" w:rsidRPr="00E672BD" w:rsidRDefault="00000000">
      <w:pPr>
        <w:pStyle w:val="Ttulo2"/>
        <w:spacing w:before="240" w:after="120"/>
        <w:rPr>
          <w:lang w:val="en-US"/>
        </w:rPr>
      </w:pPr>
      <w:r w:rsidRPr="00E672BD">
        <w:rPr>
          <w:lang w:val="en-US"/>
        </w:rPr>
        <w:t>3. Default of Credit Card Clients (Taiwán)</w:t>
      </w:r>
    </w:p>
    <w:p w14:paraId="130971C4" w14:textId="77777777" w:rsidR="00C15E05" w:rsidRPr="00E672BD" w:rsidRDefault="00000000">
      <w:pPr>
        <w:pStyle w:val="Prrafodelista"/>
        <w:numPr>
          <w:ilvl w:val="0"/>
          <w:numId w:val="2"/>
        </w:numPr>
        <w:spacing w:after="80"/>
        <w:rPr>
          <w:lang w:val="en-US"/>
        </w:rPr>
      </w:pPr>
      <w:r w:rsidRPr="00E672BD">
        <w:rPr>
          <w:b/>
          <w:bCs/>
          <w:lang w:val="en-US"/>
        </w:rPr>
        <w:t xml:space="preserve">Fuente: </w:t>
      </w:r>
      <w:hyperlink r:id="rId7" w:history="1">
        <w:r w:rsidRPr="00E672BD">
          <w:rPr>
            <w:rStyle w:val="Hipervnculo"/>
            <w:lang w:val="en-US"/>
          </w:rPr>
          <w:t xml:space="preserve">UCI Machine Learning </w:t>
        </w:r>
        <w:proofErr w:type="gramStart"/>
        <w:r w:rsidRPr="00E672BD">
          <w:rPr>
            <w:rStyle w:val="Hipervnculo"/>
            <w:lang w:val="en-US"/>
          </w:rPr>
          <w:t>Repository, #</w:t>
        </w:r>
        <w:proofErr w:type="gramEnd"/>
        <w:r w:rsidRPr="00E672BD">
          <w:rPr>
            <w:rStyle w:val="Hipervnculo"/>
            <w:lang w:val="en-US"/>
          </w:rPr>
          <w:t>350</w:t>
        </w:r>
      </w:hyperlink>
    </w:p>
    <w:p w14:paraId="6C5E2080" w14:textId="77777777" w:rsidR="00C15E05" w:rsidRDefault="00000000">
      <w:pPr>
        <w:pStyle w:val="Prrafodelista"/>
        <w:numPr>
          <w:ilvl w:val="0"/>
          <w:numId w:val="2"/>
        </w:numPr>
        <w:spacing w:after="80"/>
      </w:pPr>
      <w:r>
        <w:rPr>
          <w:b/>
          <w:bCs/>
        </w:rPr>
        <w:t xml:space="preserve">Fuente alternativa: </w:t>
      </w:r>
      <w:hyperlink r:id="rId8" w:history="1">
        <w:r>
          <w:rPr>
            <w:rStyle w:val="Hipervnculo"/>
          </w:rPr>
          <w:t>Copia en Kaggle</w:t>
        </w:r>
      </w:hyperlink>
    </w:p>
    <w:p w14:paraId="7211C675" w14:textId="77777777" w:rsidR="00C15E05" w:rsidRDefault="00000000">
      <w:pPr>
        <w:pStyle w:val="Prrafodelista"/>
        <w:numPr>
          <w:ilvl w:val="0"/>
          <w:numId w:val="2"/>
        </w:numPr>
        <w:spacing w:after="80"/>
      </w:pPr>
      <w:r>
        <w:rPr>
          <w:b/>
          <w:bCs/>
        </w:rPr>
        <w:t xml:space="preserve">Año: </w:t>
      </w:r>
      <w:r>
        <w:t>Datos de abril a septiembre de 2005; donado a UCI en 2016.</w:t>
      </w:r>
    </w:p>
    <w:p w14:paraId="2EF76F5D" w14:textId="77777777" w:rsidR="00C15E05" w:rsidRDefault="00000000">
      <w:pPr>
        <w:pStyle w:val="Prrafodelista"/>
        <w:numPr>
          <w:ilvl w:val="0"/>
          <w:numId w:val="2"/>
        </w:numPr>
        <w:spacing w:after="80"/>
      </w:pPr>
      <w:r>
        <w:rPr>
          <w:b/>
          <w:bCs/>
        </w:rPr>
        <w:t xml:space="preserve">Descripción: </w:t>
      </w:r>
      <w:r>
        <w:t>Clientes de tarjeta de crédito de un banco de Taiwán, procedentes del estudio de Yeh y Lien (2009). Cada fila es un cliente con su límite de crédito, datos demográficos (sexo, nivel educativo, estado civil, edad), el estado de pago de cada uno de los seis meses anteriores, los importes facturados y los importes pagados en esos meses.</w:t>
      </w:r>
    </w:p>
    <w:p w14:paraId="65781C2C" w14:textId="77777777" w:rsidR="00C15E05" w:rsidRDefault="00000000">
      <w:pPr>
        <w:pStyle w:val="Prrafodelista"/>
        <w:numPr>
          <w:ilvl w:val="0"/>
          <w:numId w:val="2"/>
        </w:numPr>
        <w:spacing w:after="80"/>
      </w:pPr>
      <w:r>
        <w:rPr>
          <w:b/>
          <w:bCs/>
        </w:rPr>
        <w:t xml:space="preserve">Nº de muestras: </w:t>
      </w:r>
      <w:r>
        <w:t>30.000 clientes.</w:t>
      </w:r>
    </w:p>
    <w:p w14:paraId="4BDDB893" w14:textId="77777777" w:rsidR="00C15E05" w:rsidRDefault="00000000">
      <w:pPr>
        <w:pStyle w:val="Prrafodelista"/>
        <w:numPr>
          <w:ilvl w:val="0"/>
          <w:numId w:val="2"/>
        </w:numPr>
        <w:spacing w:after="80"/>
      </w:pPr>
      <w:r>
        <w:rPr>
          <w:b/>
          <w:bCs/>
        </w:rPr>
        <w:t xml:space="preserve">Nº de variables: </w:t>
      </w:r>
      <w:r>
        <w:t>23 variables predictoras (numéricas y categóricas).</w:t>
      </w:r>
    </w:p>
    <w:p w14:paraId="13FEAB28" w14:textId="77777777" w:rsidR="00C15E05" w:rsidRDefault="00000000">
      <w:pPr>
        <w:pStyle w:val="Prrafodelista"/>
        <w:numPr>
          <w:ilvl w:val="0"/>
          <w:numId w:val="2"/>
        </w:numPr>
        <w:spacing w:after="80"/>
      </w:pPr>
      <w:r w:rsidRPr="00E672BD">
        <w:rPr>
          <w:b/>
          <w:bCs/>
          <w:lang w:val="en-US"/>
        </w:rPr>
        <w:t xml:space="preserve">Variable objetivo: </w:t>
      </w:r>
      <w:r w:rsidRPr="00E672BD">
        <w:rPr>
          <w:lang w:val="en-US"/>
        </w:rPr>
        <w:t xml:space="preserve">default payment next month. </w:t>
      </w:r>
      <w:r>
        <w:t>Se considera impago (valor 1) no atender el pago de la tarjeta en el mes siguiente. Tasa de impago: 22,1 % (6.636 de 30.000 clientes). Desequilibrio moderado: 3,5 clientes sin impago por cada uno con impago.</w:t>
      </w:r>
    </w:p>
    <w:p w14:paraId="2BF8E983" w14:textId="77777777" w:rsidR="00C15E05" w:rsidRDefault="00000000">
      <w:pPr>
        <w:pStyle w:val="Prrafodelista"/>
        <w:numPr>
          <w:ilvl w:val="0"/>
          <w:numId w:val="2"/>
        </w:numPr>
        <w:spacing w:after="80"/>
      </w:pPr>
      <w:r>
        <w:rPr>
          <w:b/>
          <w:bCs/>
        </w:rPr>
        <w:t xml:space="preserve">Formato de los datos: </w:t>
      </w:r>
      <w:r>
        <w:t>Un único fichero Excel (default of credit card clients.xls) con una fila de cabecera adicional. No hay valores perdidos.</w:t>
      </w:r>
    </w:p>
    <w:p w14:paraId="0723011D" w14:textId="77777777" w:rsidR="00C15E05" w:rsidRPr="00E672BD" w:rsidRDefault="00000000">
      <w:pPr>
        <w:pStyle w:val="Prrafodelista"/>
        <w:numPr>
          <w:ilvl w:val="0"/>
          <w:numId w:val="2"/>
        </w:numPr>
        <w:spacing w:after="80"/>
        <w:rPr>
          <w:lang w:val="en-US"/>
        </w:rPr>
      </w:pPr>
      <w:r>
        <w:rPr>
          <w:b/>
          <w:bCs/>
        </w:rPr>
        <w:t xml:space="preserve">Licencia y cita: </w:t>
      </w:r>
      <w:r>
        <w:t xml:space="preserve">CC BY 4.0. Cita recomendada por UCI: Yeh, I. (2009). </w:t>
      </w:r>
      <w:r w:rsidRPr="00E672BD">
        <w:rPr>
          <w:lang w:val="en-US"/>
        </w:rPr>
        <w:t>Default of Credit Card Clients [Dataset]. UCI Machine Learning Repository. https://doi.org/10.24432/C55S3H.</w:t>
      </w:r>
    </w:p>
    <w:p w14:paraId="64EE63B0" w14:textId="77777777" w:rsidR="00C15E05" w:rsidRDefault="00000000">
      <w:pPr>
        <w:pStyle w:val="Prrafodelista"/>
        <w:numPr>
          <w:ilvl w:val="0"/>
          <w:numId w:val="2"/>
        </w:numPr>
        <w:spacing w:after="80"/>
      </w:pPr>
      <w:r>
        <w:rPr>
          <w:b/>
          <w:bCs/>
        </w:rPr>
        <w:t xml:space="preserve">Observaciones: </w:t>
      </w:r>
      <w:r>
        <w:t>Es el dataset que usan Lin y Wang (2025) para estudiar la estabilidad de SHAP en XGBoost, así que se podrían comparar resultados con ellos. Particularidades que hay que tratar antes de modelar: EDUCATION documenta los códigos 1 a 4 pero aparecen también 0, 5 y 6; MARRIAGE tiene el código 0 sin documentar; las seis variables de estado de pago contienen los valores -2 y 0, tampoco documentados; el fichero las numera PAY_0, PAY_2, ..., PAY_6 (no existe PAY_1), por lo que en este trabajo se renombran PAY_1 a PAY_6; y el .xls de UCI trae una fila de cabecera adicional por encima de los nombres de columna. Hay además una asimetría entre la variable del mes más reciente y las cinco anteriores: el código 1, un mes de retraso, aparece 3.688 veces en PAY_0 y prácticamente desaparece en las demás (28, 4, 2, 0 y 0 casos en PAY_2 a PAY_6). Conviene tenerlo presente porque PAY_1 (tras el renombrado) es la variable dominante en los dos modelos. Descartando la columna ID, hay 35 filas duplicadas, que conviene decidir cómo tratar para que no queden repartidas entre entrenamiento y test.</w:t>
      </w:r>
    </w:p>
    <w:p w14:paraId="287352F2" w14:textId="77777777" w:rsidR="00C15E05" w:rsidRDefault="00000000">
      <w:pPr>
        <w:pStyle w:val="Ttulo2"/>
        <w:spacing w:before="240" w:after="120"/>
      </w:pPr>
      <w:r>
        <w:t>4. Home Credit Default Risk</w:t>
      </w:r>
    </w:p>
    <w:p w14:paraId="6B41D8FD" w14:textId="77777777" w:rsidR="00C15E05" w:rsidRDefault="00000000">
      <w:pPr>
        <w:pStyle w:val="Prrafodelista"/>
        <w:numPr>
          <w:ilvl w:val="0"/>
          <w:numId w:val="2"/>
        </w:numPr>
        <w:spacing w:after="80"/>
      </w:pPr>
      <w:r>
        <w:rPr>
          <w:b/>
          <w:bCs/>
        </w:rPr>
        <w:t xml:space="preserve">Fuente: </w:t>
      </w:r>
      <w:hyperlink r:id="rId9" w:history="1">
        <w:r>
          <w:rPr>
            <w:rStyle w:val="Hipervnculo"/>
          </w:rPr>
          <w:t>Competición de Kaggle</w:t>
        </w:r>
      </w:hyperlink>
    </w:p>
    <w:p w14:paraId="582E6243" w14:textId="77777777" w:rsidR="00C15E05" w:rsidRDefault="00000000">
      <w:pPr>
        <w:pStyle w:val="Prrafodelista"/>
        <w:numPr>
          <w:ilvl w:val="0"/>
          <w:numId w:val="2"/>
        </w:numPr>
        <w:spacing w:after="80"/>
      </w:pPr>
      <w:r>
        <w:rPr>
          <w:b/>
          <w:bCs/>
        </w:rPr>
        <w:t xml:space="preserve">Año: </w:t>
      </w:r>
      <w:r>
        <w:t>2018</w:t>
      </w:r>
    </w:p>
    <w:p w14:paraId="067C8407" w14:textId="77777777" w:rsidR="00C15E05" w:rsidRDefault="00000000">
      <w:pPr>
        <w:pStyle w:val="Prrafodelista"/>
        <w:numPr>
          <w:ilvl w:val="0"/>
          <w:numId w:val="2"/>
        </w:numPr>
        <w:spacing w:after="80"/>
      </w:pPr>
      <w:r>
        <w:rPr>
          <w:b/>
          <w:bCs/>
        </w:rPr>
        <w:t xml:space="preserve">Descripción: </w:t>
      </w:r>
      <w:r>
        <w:t>Datos reales cedidos por Home Credit Group, entidad de crédito al consumo que opera en mercados emergentes. La tabla principal contiene una solicitud de préstamo por fila (datos personales, ingresos, empleo, vivienda, documentación aportada, etc.) y se complementa con tablas relacionadas: historial en buró de crédito, solicitudes anteriores, préstamos y tarjetas previas con la entidad y sus pagos.</w:t>
      </w:r>
    </w:p>
    <w:p w14:paraId="71E1B24B" w14:textId="77777777" w:rsidR="00C15E05" w:rsidRDefault="00000000">
      <w:pPr>
        <w:pStyle w:val="Prrafodelista"/>
        <w:numPr>
          <w:ilvl w:val="0"/>
          <w:numId w:val="2"/>
        </w:numPr>
        <w:spacing w:after="80"/>
      </w:pPr>
      <w:r>
        <w:rPr>
          <w:b/>
          <w:bCs/>
        </w:rPr>
        <w:t xml:space="preserve">Nº de muestras: </w:t>
      </w:r>
      <w:r>
        <w:t>307.511 solicitudes etiquetadas en la tabla principal (application_train.csv). Las tablas auxiliares tienen entre 1,7 y 27 millones de filas.</w:t>
      </w:r>
    </w:p>
    <w:p w14:paraId="7A81D876" w14:textId="77777777" w:rsidR="00C15E05" w:rsidRDefault="00000000">
      <w:pPr>
        <w:pStyle w:val="Prrafodelista"/>
        <w:numPr>
          <w:ilvl w:val="0"/>
          <w:numId w:val="2"/>
        </w:numPr>
        <w:spacing w:after="80"/>
      </w:pPr>
      <w:r>
        <w:rPr>
          <w:b/>
          <w:bCs/>
        </w:rPr>
        <w:lastRenderedPageBreak/>
        <w:t xml:space="preserve">Nº de variables: </w:t>
      </w:r>
      <w:r>
        <w:t>122 columnas en la tabla principal, a las que las seis tablas auxiliares añaden 96 más. (application_test.csv no aporta información nueva: son las mismas columnas de application_train.csv menos TARGET.)</w:t>
      </w:r>
    </w:p>
    <w:p w14:paraId="625A1263" w14:textId="77777777" w:rsidR="00C15E05" w:rsidRDefault="00000000">
      <w:pPr>
        <w:pStyle w:val="Prrafodelista"/>
        <w:numPr>
          <w:ilvl w:val="0"/>
          <w:numId w:val="2"/>
        </w:numPr>
        <w:spacing w:after="80"/>
      </w:pPr>
      <w:r>
        <w:rPr>
          <w:b/>
          <w:bCs/>
        </w:rPr>
        <w:t xml:space="preserve">Variable objetivo: </w:t>
      </w:r>
      <w:r>
        <w:t>TARGET. Se considera impago (valor 1) que el cliente tuviera dificultades de pago, definidas por Home Credit como un retraso de más de X días en al menos una de las primeras Y cuotas (X e Y no se publican). Tasa de impago: 8,1 % (24.825 de 307.511 solicitudes). Desequilibrio fuerte: 11,4 solicitudes sin impago por cada una con impago.</w:t>
      </w:r>
    </w:p>
    <w:p w14:paraId="348052FB" w14:textId="77777777" w:rsidR="00C15E05" w:rsidRDefault="00000000">
      <w:pPr>
        <w:pStyle w:val="Prrafodelista"/>
        <w:numPr>
          <w:ilvl w:val="0"/>
          <w:numId w:val="2"/>
        </w:numPr>
        <w:spacing w:after="80"/>
      </w:pPr>
      <w:r>
        <w:rPr>
          <w:b/>
          <w:bCs/>
        </w:rPr>
        <w:t xml:space="preserve">Formato de los datos: </w:t>
      </w:r>
      <w:r>
        <w:t>Ocho ficheros CSV de datos: las solicitudes etiquetadas (application_train.csv) y su equivalente sin etiqueta para la competición (application_test.csv); los créditos del cliente en otras entidades registrados en el buró de crédito (bureau.csv) y el saldo mes a mes de cada uno (bureau_balance.csv); las solicitudes anteriores a Home Credit (previous_application.csv); y, de esos créditos previos con la entidad, el saldo mensual de los préstamos al consumo y de efectivo (POS_CASH_balance.csv), el de las tarjetas de crédito (credit_card_balance.csv) y el historial de cuotas pagadas (installments_payments.csv). Se añaden el diccionario de columnas (HomeCredit_columns_description.csv) y la plantilla de envío de la competición (sample_submission.csv). Gran cantidad de valores perdidos: 67 de las 122 columnas tienen alguno y 41 superan el 50 %.</w:t>
      </w:r>
    </w:p>
    <w:p w14:paraId="39FC3A0E" w14:textId="77777777" w:rsidR="00C15E05" w:rsidRPr="00E672BD" w:rsidRDefault="00000000">
      <w:pPr>
        <w:pStyle w:val="Prrafodelista"/>
        <w:numPr>
          <w:ilvl w:val="0"/>
          <w:numId w:val="2"/>
        </w:numPr>
        <w:spacing w:after="80"/>
        <w:rPr>
          <w:lang w:val="en-US"/>
        </w:rPr>
      </w:pPr>
      <w:r>
        <w:rPr>
          <w:b/>
          <w:bCs/>
        </w:rPr>
        <w:t xml:space="preserve">Licencia y cita: </w:t>
      </w:r>
      <w:r>
        <w:t xml:space="preserve">datos cedidos por Home Credit Group para la competición de Kaggle (2018); el uso de los datos se rige por las reglas de esa competición. </w:t>
      </w:r>
      <w:r w:rsidRPr="00E672BD">
        <w:rPr>
          <w:lang w:val="en-US"/>
        </w:rPr>
        <w:t>Cita: Home Credit Group (2018). Home Credit Default Risk. Kaggle. https://www.kaggle.com/c/home-credit-default-risk.</w:t>
      </w:r>
    </w:p>
    <w:p w14:paraId="1C4C00E2" w14:textId="77777777" w:rsidR="00C15E05" w:rsidRDefault="00000000">
      <w:pPr>
        <w:pStyle w:val="Prrafodelista"/>
        <w:numPr>
          <w:ilvl w:val="0"/>
          <w:numId w:val="2"/>
        </w:numPr>
        <w:spacing w:after="80"/>
      </w:pPr>
      <w:r>
        <w:rPr>
          <w:b/>
          <w:bCs/>
        </w:rPr>
        <w:t xml:space="preserve">Observaciones: </w:t>
      </w:r>
      <w:r>
        <w:t>DAYS_EMPLOYED es la única columna DAYS_ con valores positivos: vale 365243, unos 1.000 años de antigüedad laboral, en 55.374 filas (18,0 %). Esas filas son exactamente las de pensionistas y desempleados, el 100 % de ambos grupos, y además tienen OCCUPATION_TYPE vacío en el 100 % de los casos. Es un valor de relleno para quien no tiene empleo, no una duración, y hay que tratarlo antes de modelar. El signo se interpretó comprobando en bureau.csv que los valores positivos corresponden a hechos futuros (DAYS_CREDIT_ENDDATE), mientras que las cinco columnas DAYS_ de la tabla principal se refieren a hechos ya ocurridos. Hay que unir y limpiar las tablas antes de poder modelar, lo que lleva bastante trabajo.</w:t>
      </w:r>
    </w:p>
    <w:p w14:paraId="2ACA90C1" w14:textId="77777777" w:rsidR="00C15E05" w:rsidRDefault="00000000">
      <w:pPr>
        <w:pStyle w:val="Ttulo2"/>
        <w:spacing w:before="240" w:after="120"/>
      </w:pPr>
      <w:r>
        <w:t>5. Lending Club Loan Data</w:t>
      </w:r>
    </w:p>
    <w:p w14:paraId="38200DDC" w14:textId="77777777" w:rsidR="00C15E05" w:rsidRDefault="00000000">
      <w:pPr>
        <w:pStyle w:val="Prrafodelista"/>
        <w:numPr>
          <w:ilvl w:val="0"/>
          <w:numId w:val="2"/>
        </w:numPr>
        <w:spacing w:after="80"/>
      </w:pPr>
      <w:r>
        <w:rPr>
          <w:b/>
          <w:bCs/>
        </w:rPr>
        <w:t xml:space="preserve">Fuente: </w:t>
      </w:r>
      <w:hyperlink r:id="rId10" w:history="1">
        <w:r>
          <w:rPr>
            <w:rStyle w:val="Hipervnculo"/>
          </w:rPr>
          <w:t>Copia mantenida en Kaggle (la fuente original ya no es de libre acceso)</w:t>
        </w:r>
      </w:hyperlink>
    </w:p>
    <w:p w14:paraId="40C09148" w14:textId="77777777" w:rsidR="00C15E05" w:rsidRDefault="00000000">
      <w:pPr>
        <w:pStyle w:val="Prrafodelista"/>
        <w:numPr>
          <w:ilvl w:val="0"/>
          <w:numId w:val="2"/>
        </w:numPr>
        <w:spacing w:after="80"/>
      </w:pPr>
      <w:r>
        <w:rPr>
          <w:b/>
          <w:bCs/>
        </w:rPr>
        <w:t xml:space="preserve">Año: </w:t>
      </w:r>
      <w:r>
        <w:t>Préstamos concedidos entre 2007 y el cuarto trimestre de 2018.</w:t>
      </w:r>
    </w:p>
    <w:p w14:paraId="36924143" w14:textId="77777777" w:rsidR="00C15E05" w:rsidRDefault="00000000">
      <w:pPr>
        <w:pStyle w:val="Prrafodelista"/>
        <w:numPr>
          <w:ilvl w:val="0"/>
          <w:numId w:val="2"/>
        </w:numPr>
        <w:spacing w:after="80"/>
      </w:pPr>
      <w:r>
        <w:rPr>
          <w:b/>
          <w:bCs/>
        </w:rPr>
        <w:t xml:space="preserve">Descripción: </w:t>
      </w:r>
      <w:r>
        <w:t>Préstamos de la plataforma de préstamos entre particulares LendingClub (EE. UU.). Cada fila es un préstamo con sus características (importe, tipo de interés, plazo, grado asignado, finalidad) y las del prestatario (ingresos declarados, antigüedad laboral, vivienda, ratio deuda/ingresos, historial crediticio).</w:t>
      </w:r>
    </w:p>
    <w:p w14:paraId="23DE7378" w14:textId="77777777" w:rsidR="00C15E05" w:rsidRDefault="00000000">
      <w:pPr>
        <w:pStyle w:val="Prrafodelista"/>
        <w:numPr>
          <w:ilvl w:val="0"/>
          <w:numId w:val="2"/>
        </w:numPr>
        <w:spacing w:after="80"/>
      </w:pPr>
      <w:r>
        <w:rPr>
          <w:b/>
          <w:bCs/>
        </w:rPr>
        <w:t xml:space="preserve">Nº de muestras: </w:t>
      </w:r>
      <w:r>
        <w:t>2.260.668 préstamos en el fichero de aceptados, unos 2,26 millones. El fichero de rechazados no sirve para construir el objetivo de impago porque esos préstamos nunca se concedieron y no tienen resultado observado.</w:t>
      </w:r>
    </w:p>
    <w:p w14:paraId="28008B0D" w14:textId="77777777" w:rsidR="00C15E05" w:rsidRDefault="00000000">
      <w:pPr>
        <w:pStyle w:val="Prrafodelista"/>
        <w:numPr>
          <w:ilvl w:val="0"/>
          <w:numId w:val="2"/>
        </w:numPr>
        <w:spacing w:after="80"/>
      </w:pPr>
      <w:r>
        <w:rPr>
          <w:b/>
          <w:bCs/>
        </w:rPr>
        <w:t xml:space="preserve">Nº de variables: </w:t>
      </w:r>
      <w:r>
        <w:t>151 columnas en la copia utilizada (el número exacto varía según la versión del fichero).</w:t>
      </w:r>
    </w:p>
    <w:p w14:paraId="37E33E00" w14:textId="77777777" w:rsidR="00C15E05" w:rsidRDefault="00000000">
      <w:pPr>
        <w:pStyle w:val="Prrafodelista"/>
        <w:numPr>
          <w:ilvl w:val="0"/>
          <w:numId w:val="2"/>
        </w:numPr>
        <w:spacing w:after="80"/>
      </w:pPr>
      <w:r>
        <w:rPr>
          <w:b/>
          <w:bCs/>
        </w:rPr>
        <w:t xml:space="preserve">Variable objetivo: </w:t>
      </w:r>
      <w:r>
        <w:t xml:space="preserve">No existe una variable </w:t>
      </w:r>
      <w:proofErr w:type="gramStart"/>
      <w:r>
        <w:t>objetivo directa</w:t>
      </w:r>
      <w:proofErr w:type="gramEnd"/>
      <w:r>
        <w:t>: hay que construirla a partir de loan_</w:t>
      </w:r>
      <w:proofErr w:type="gramStart"/>
      <w:r>
        <w:t>status</w:t>
      </w:r>
      <w:proofErr w:type="gramEnd"/>
      <w:r>
        <w:t>. Se consideraría impago el estado Charged Off (préstamo dado por incobrable) y no impago el estado Fully Paid (devuelto por completo), descartando los préstamos aún vigentes (Current) y los estados intermedios de retraso. Tasa de impago con esa definición: 20,0 % (268.559 de 1.345.310 préstamos cerrados). Desequilibrio moderado: 4,0 préstamos devueltos por cada uno incobrable.</w:t>
      </w:r>
    </w:p>
    <w:p w14:paraId="23CE5C65" w14:textId="77777777" w:rsidR="00C15E05" w:rsidRDefault="00000000">
      <w:pPr>
        <w:pStyle w:val="Prrafodelista"/>
        <w:numPr>
          <w:ilvl w:val="0"/>
          <w:numId w:val="2"/>
        </w:numPr>
        <w:spacing w:after="80"/>
      </w:pPr>
      <w:r>
        <w:rPr>
          <w:b/>
          <w:bCs/>
        </w:rPr>
        <w:lastRenderedPageBreak/>
        <w:t xml:space="preserve">Formato de los datos: </w:t>
      </w:r>
      <w:r>
        <w:t xml:space="preserve">Un único fichero CSV (accepted_2007_to_2018Q4.csv) de 1,7 GB con los préstamos aceptados; la copia de Kaggle distribuye aparte el de rechazados, que no se usa aquí. Muchos valores perdidos: 113 de las 151 columnas tienen alguno y 44 superan el 50 %: 16 corresponden a solicitudes conjuntas, 14 a planes de reestructuración (hardship) y 6 a acuerdos de liquidación, situaciones que solo afectan a una minoría de préstamos; </w:t>
      </w:r>
      <w:proofErr w:type="gramStart"/>
      <w:r>
        <w:t>las 8 restantes</w:t>
      </w:r>
      <w:proofErr w:type="gramEnd"/>
      <w:r>
        <w:t xml:space="preserve"> son campos como member_id, la descripción libre del préstamo o los meses transcurridos desde la última incidencia de pago.</w:t>
      </w:r>
    </w:p>
    <w:p w14:paraId="3EBB52BA" w14:textId="77777777" w:rsidR="00C15E05" w:rsidRDefault="00000000">
      <w:pPr>
        <w:pStyle w:val="Prrafodelista"/>
        <w:numPr>
          <w:ilvl w:val="0"/>
          <w:numId w:val="2"/>
        </w:numPr>
        <w:spacing w:after="80"/>
      </w:pPr>
      <w:r>
        <w:rPr>
          <w:b/>
          <w:bCs/>
        </w:rPr>
        <w:t xml:space="preserve">Licencia y cita: </w:t>
      </w:r>
      <w:r>
        <w:t>copia no oficial mantenida en Kaggle (usuario wordsforthewise) con licencia CC0 1.0; fichero accepted_2007_to_2018Q4.csv fechado el 10 de abril de 2019 y descargado el 4 de septiembre de 2026.</w:t>
      </w:r>
    </w:p>
    <w:p w14:paraId="336180B7" w14:textId="77777777" w:rsidR="00C15E05" w:rsidRDefault="00000000">
      <w:pPr>
        <w:pStyle w:val="Prrafodelista"/>
        <w:numPr>
          <w:ilvl w:val="0"/>
          <w:numId w:val="2"/>
        </w:numPr>
        <w:spacing w:after="80"/>
      </w:pPr>
      <w:r>
        <w:rPr>
          <w:b/>
          <w:bCs/>
        </w:rPr>
        <w:t xml:space="preserve">Observaciones: </w:t>
      </w:r>
      <w:r>
        <w:t xml:space="preserve">El fichero tiene 2.260.701 filas, de las que 2.260.668 son préstamos: </w:t>
      </w:r>
      <w:proofErr w:type="gramStart"/>
      <w:r>
        <w:t>las 33 restantes</w:t>
      </w:r>
      <w:proofErr w:type="gramEnd"/>
      <w:r>
        <w:t xml:space="preserve"> no son préstamos sino líneas de resumen (los totales financiados por código de política y el rótulo de los préstamos que no cumplen la política de crédito) y no están al final, sino repartidas entre las posiciones 421.095 y 2.260.700, de modo que hay que filtrarlas al leer. member_id está vacía en el 100 % de las filas. Además de construir el objetivo, hay que quitar las variables que solo se conocen después de conceder el préstamo (fuga de información), y para eso hay que revisar columna por columna.</w:t>
      </w:r>
    </w:p>
    <w:p w14:paraId="3E93A979" w14:textId="77777777" w:rsidR="00C15E05" w:rsidRDefault="00000000">
      <w:pPr>
        <w:pStyle w:val="Ttulo2"/>
        <w:spacing w:before="240" w:after="120"/>
      </w:pPr>
      <w:r>
        <w:t>Resumen comparativo</w:t>
      </w:r>
    </w:p>
    <w:p w14:paraId="41D95B40" w14:textId="77777777" w:rsidR="00C15E05" w:rsidRDefault="00000000">
      <w:pPr>
        <w:spacing w:after="120"/>
      </w:pPr>
      <w:r>
        <w:t xml:space="preserve">Las licencias, las fechas de donación y las citas recomendadas proceden de las páginas de origen; el resto de </w:t>
      </w:r>
      <w:proofErr w:type="gramStart"/>
      <w:r>
        <w:t>cifras</w:t>
      </w:r>
      <w:proofErr w:type="gramEnd"/>
      <w:r>
        <w:t xml:space="preserve"> están calculadas sobre los ficheros descargados. En las fichas y en la tabla, la tasa de impago es la proporción de observaciones que cumplen la definición de impago de cada dataset, indicada junto a su variable objetivo. Las cifras están calculadas sobre los ficheros descargados: en Give Me Some Credit y Home Credit, sobre el fichero de entrenamiento etiquetado; en Lending Club, solo sobre los préstamos ya cerrados. Entre </w:t>
      </w:r>
      <w:proofErr w:type="gramStart"/>
      <w:r>
        <w:t>paréntesis</w:t>
      </w:r>
      <w:proofErr w:type="gramEnd"/>
      <w:r>
        <w:t xml:space="preserve"> en la tabla, </w:t>
      </w:r>
      <w:proofErr w:type="gramStart"/>
      <w:r>
        <w:t>el ratio</w:t>
      </w:r>
      <w:proofErr w:type="gramEnd"/>
      <w:r>
        <w:t xml:space="preserve"> de casos sin impago por cada caso con impago. Los cinco datasets están desequilibrados hacia la clase sin impago: de forma moderada en South German Credit, Taiwán y Lending Club, y de forma fuerte en Home Credit y Give Me Some Credit, lo que importa porque Chen et al. (2024) y Ballegeer et al. (2025) relacionan el desequilibrio con la inestabilidad de las explicaciones. En South German Credit el 30 % es el desequilibrio con el que se entrenará el modelo, que es lo relevante para ese argumento, pero es un artefacto del muestreo y no una tasa poblacional comparable con las de los demás datasets.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881"/>
        <w:gridCol w:w="1182"/>
        <w:gridCol w:w="897"/>
        <w:gridCol w:w="1011"/>
        <w:gridCol w:w="1129"/>
        <w:gridCol w:w="988"/>
        <w:gridCol w:w="1267"/>
      </w:tblGrid>
      <w:tr w:rsidR="00C15E05" w14:paraId="36FC5CD9" w14:textId="77777777">
        <w:tblPrEx>
          <w:tblCellMar>
            <w:top w:w="0" w:type="dxa"/>
            <w:bottom w:w="0" w:type="dxa"/>
          </w:tblCellMar>
        </w:tblPrEx>
        <w:trPr>
          <w:tblHeader/>
        </w:trPr>
        <w:tc>
          <w:tcPr>
            <w:tcW w:w="1700" w:type="dxa"/>
            <w:shd w:val="clear" w:color="auto" w:fill="D9E2F3"/>
            <w:tcMar>
              <w:top w:w="60" w:type="dxa"/>
              <w:left w:w="80" w:type="dxa"/>
              <w:bottom w:w="60" w:type="dxa"/>
              <w:right w:w="80" w:type="dxa"/>
            </w:tcMar>
          </w:tcPr>
          <w:p w14:paraId="4A8E8D5A" w14:textId="77777777" w:rsidR="00C15E05" w:rsidRDefault="00000000">
            <w:r>
              <w:rPr>
                <w:b/>
                <w:bCs/>
                <w:sz w:val="18"/>
                <w:szCs w:val="18"/>
              </w:rPr>
              <w:t>Dataset</w:t>
            </w:r>
          </w:p>
        </w:tc>
        <w:tc>
          <w:tcPr>
            <w:tcW w:w="900" w:type="dxa"/>
            <w:shd w:val="clear" w:color="auto" w:fill="D9E2F3"/>
            <w:tcMar>
              <w:top w:w="60" w:type="dxa"/>
              <w:left w:w="80" w:type="dxa"/>
              <w:bottom w:w="60" w:type="dxa"/>
              <w:right w:w="80" w:type="dxa"/>
            </w:tcMar>
          </w:tcPr>
          <w:p w14:paraId="59D18D23" w14:textId="77777777" w:rsidR="00C15E05" w:rsidRDefault="00000000">
            <w:r>
              <w:rPr>
                <w:b/>
                <w:bCs/>
                <w:sz w:val="18"/>
                <w:szCs w:val="18"/>
              </w:rPr>
              <w:t>Año</w:t>
            </w:r>
          </w:p>
        </w:tc>
        <w:tc>
          <w:tcPr>
            <w:tcW w:w="1200" w:type="dxa"/>
            <w:shd w:val="clear" w:color="auto" w:fill="D9E2F3"/>
            <w:tcMar>
              <w:top w:w="60" w:type="dxa"/>
              <w:left w:w="80" w:type="dxa"/>
              <w:bottom w:w="60" w:type="dxa"/>
              <w:right w:w="80" w:type="dxa"/>
            </w:tcMar>
          </w:tcPr>
          <w:p w14:paraId="57205094" w14:textId="77777777" w:rsidR="00C15E05" w:rsidRDefault="00000000">
            <w:r>
              <w:rPr>
                <w:b/>
                <w:bCs/>
                <w:sz w:val="18"/>
                <w:szCs w:val="18"/>
              </w:rPr>
              <w:t>Muestras</w:t>
            </w:r>
          </w:p>
        </w:tc>
        <w:tc>
          <w:tcPr>
            <w:tcW w:w="750" w:type="dxa"/>
            <w:shd w:val="clear" w:color="auto" w:fill="D9E2F3"/>
            <w:tcMar>
              <w:top w:w="60" w:type="dxa"/>
              <w:left w:w="80" w:type="dxa"/>
              <w:bottom w:w="60" w:type="dxa"/>
              <w:right w:w="80" w:type="dxa"/>
            </w:tcMar>
          </w:tcPr>
          <w:p w14:paraId="0DC027F1" w14:textId="77777777" w:rsidR="00C15E05" w:rsidRDefault="00000000">
            <w:r>
              <w:rPr>
                <w:b/>
                <w:bCs/>
                <w:sz w:val="18"/>
                <w:szCs w:val="18"/>
              </w:rPr>
              <w:t>Columnas</w:t>
            </w:r>
          </w:p>
        </w:tc>
        <w:tc>
          <w:tcPr>
            <w:tcW w:w="1000" w:type="dxa"/>
            <w:shd w:val="clear" w:color="auto" w:fill="D9E2F3"/>
            <w:tcMar>
              <w:top w:w="60" w:type="dxa"/>
              <w:left w:w="80" w:type="dxa"/>
              <w:bottom w:w="60" w:type="dxa"/>
              <w:right w:w="80" w:type="dxa"/>
            </w:tcMar>
          </w:tcPr>
          <w:p w14:paraId="1FC90ACA" w14:textId="77777777" w:rsidR="00C15E05" w:rsidRDefault="00000000">
            <w:r>
              <w:rPr>
                <w:b/>
                <w:bCs/>
                <w:sz w:val="18"/>
                <w:szCs w:val="18"/>
              </w:rPr>
              <w:t>Predictoras</w:t>
            </w:r>
          </w:p>
        </w:tc>
        <w:tc>
          <w:tcPr>
            <w:tcW w:w="1150" w:type="dxa"/>
            <w:shd w:val="clear" w:color="auto" w:fill="D9E2F3"/>
            <w:tcMar>
              <w:top w:w="60" w:type="dxa"/>
              <w:left w:w="80" w:type="dxa"/>
              <w:bottom w:w="60" w:type="dxa"/>
              <w:right w:w="80" w:type="dxa"/>
            </w:tcMar>
          </w:tcPr>
          <w:p w14:paraId="7EAFB0BC" w14:textId="77777777" w:rsidR="00C15E05" w:rsidRDefault="00000000">
            <w:r>
              <w:rPr>
                <w:b/>
                <w:bCs/>
                <w:sz w:val="18"/>
                <w:szCs w:val="18"/>
              </w:rPr>
              <w:t xml:space="preserve">Tasa de impago (no </w:t>
            </w:r>
            <w:proofErr w:type="gramStart"/>
            <w:r>
              <w:rPr>
                <w:b/>
                <w:bCs/>
                <w:sz w:val="18"/>
                <w:szCs w:val="18"/>
              </w:rPr>
              <w:t>impago :</w:t>
            </w:r>
            <w:proofErr w:type="gramEnd"/>
            <w:r>
              <w:rPr>
                <w:b/>
                <w:bCs/>
                <w:sz w:val="18"/>
                <w:szCs w:val="18"/>
              </w:rPr>
              <w:t xml:space="preserve"> impago)</w:t>
            </w:r>
          </w:p>
        </w:tc>
        <w:tc>
          <w:tcPr>
            <w:tcW w:w="1000" w:type="dxa"/>
            <w:shd w:val="clear" w:color="auto" w:fill="D9E2F3"/>
            <w:tcMar>
              <w:top w:w="60" w:type="dxa"/>
              <w:left w:w="80" w:type="dxa"/>
              <w:bottom w:w="60" w:type="dxa"/>
              <w:right w:w="80" w:type="dxa"/>
            </w:tcMar>
          </w:tcPr>
          <w:p w14:paraId="351C15D5" w14:textId="77777777" w:rsidR="00C15E05" w:rsidRDefault="00000000">
            <w:r>
              <w:rPr>
                <w:b/>
                <w:bCs/>
                <w:sz w:val="18"/>
                <w:szCs w:val="18"/>
              </w:rPr>
              <w:t>Formato</w:t>
            </w:r>
          </w:p>
        </w:tc>
        <w:tc>
          <w:tcPr>
            <w:tcW w:w="1300" w:type="dxa"/>
            <w:shd w:val="clear" w:color="auto" w:fill="D9E2F3"/>
            <w:tcMar>
              <w:top w:w="60" w:type="dxa"/>
              <w:left w:w="80" w:type="dxa"/>
              <w:bottom w:w="60" w:type="dxa"/>
              <w:right w:w="80" w:type="dxa"/>
            </w:tcMar>
          </w:tcPr>
          <w:p w14:paraId="117E57D6" w14:textId="77777777" w:rsidR="00C15E05" w:rsidRDefault="00000000">
            <w:r>
              <w:rPr>
                <w:b/>
                <w:bCs/>
                <w:sz w:val="18"/>
                <w:szCs w:val="18"/>
              </w:rPr>
              <w:t>Fuente</w:t>
            </w:r>
          </w:p>
        </w:tc>
      </w:tr>
      <w:tr w:rsidR="00C15E05" w14:paraId="410E214C" w14:textId="77777777">
        <w:tblPrEx>
          <w:tblCellMar>
            <w:top w:w="0" w:type="dxa"/>
            <w:bottom w:w="0" w:type="dxa"/>
          </w:tblCellMar>
        </w:tblPrEx>
        <w:tc>
          <w:tcPr>
            <w:tcW w:w="1700" w:type="dxa"/>
            <w:tcMar>
              <w:top w:w="60" w:type="dxa"/>
              <w:left w:w="80" w:type="dxa"/>
              <w:bottom w:w="60" w:type="dxa"/>
              <w:right w:w="80" w:type="dxa"/>
            </w:tcMar>
          </w:tcPr>
          <w:p w14:paraId="0A82BBD7" w14:textId="77777777" w:rsidR="00C15E05" w:rsidRDefault="00000000">
            <w:r>
              <w:rPr>
                <w:sz w:val="18"/>
                <w:szCs w:val="18"/>
              </w:rPr>
              <w:t>Give Me Some Credit</w:t>
            </w:r>
          </w:p>
        </w:tc>
        <w:tc>
          <w:tcPr>
            <w:tcW w:w="900" w:type="dxa"/>
            <w:tcMar>
              <w:top w:w="60" w:type="dxa"/>
              <w:left w:w="80" w:type="dxa"/>
              <w:bottom w:w="60" w:type="dxa"/>
              <w:right w:w="80" w:type="dxa"/>
            </w:tcMar>
          </w:tcPr>
          <w:p w14:paraId="546CD3C3" w14:textId="77777777" w:rsidR="00C15E05" w:rsidRDefault="00000000">
            <w:r>
              <w:rPr>
                <w:sz w:val="18"/>
                <w:szCs w:val="18"/>
              </w:rPr>
              <w:t>2011</w:t>
            </w:r>
          </w:p>
        </w:tc>
        <w:tc>
          <w:tcPr>
            <w:tcW w:w="1200" w:type="dxa"/>
            <w:tcMar>
              <w:top w:w="60" w:type="dxa"/>
              <w:left w:w="80" w:type="dxa"/>
              <w:bottom w:w="60" w:type="dxa"/>
              <w:right w:w="80" w:type="dxa"/>
            </w:tcMar>
          </w:tcPr>
          <w:p w14:paraId="6E04C391" w14:textId="77777777" w:rsidR="00C15E05" w:rsidRDefault="00000000">
            <w:r>
              <w:rPr>
                <w:sz w:val="18"/>
                <w:szCs w:val="18"/>
              </w:rPr>
              <w:t>150.000</w:t>
            </w:r>
          </w:p>
        </w:tc>
        <w:tc>
          <w:tcPr>
            <w:tcW w:w="750" w:type="dxa"/>
            <w:tcMar>
              <w:top w:w="60" w:type="dxa"/>
              <w:left w:w="80" w:type="dxa"/>
              <w:bottom w:w="60" w:type="dxa"/>
              <w:right w:w="80" w:type="dxa"/>
            </w:tcMar>
          </w:tcPr>
          <w:p w14:paraId="47CF88D0" w14:textId="77777777" w:rsidR="00C15E05" w:rsidRDefault="00000000">
            <w:r>
              <w:rPr>
                <w:sz w:val="18"/>
                <w:szCs w:val="18"/>
              </w:rPr>
              <w:t>11</w:t>
            </w:r>
          </w:p>
        </w:tc>
        <w:tc>
          <w:tcPr>
            <w:tcW w:w="1000" w:type="dxa"/>
            <w:tcMar>
              <w:top w:w="60" w:type="dxa"/>
              <w:left w:w="80" w:type="dxa"/>
              <w:bottom w:w="60" w:type="dxa"/>
              <w:right w:w="80" w:type="dxa"/>
            </w:tcMar>
          </w:tcPr>
          <w:p w14:paraId="7FC06634" w14:textId="77777777" w:rsidR="00C15E05" w:rsidRDefault="00000000">
            <w:r>
              <w:rPr>
                <w:sz w:val="18"/>
                <w:szCs w:val="18"/>
              </w:rPr>
              <w:t>10</w:t>
            </w:r>
          </w:p>
        </w:tc>
        <w:tc>
          <w:tcPr>
            <w:tcW w:w="1150" w:type="dxa"/>
            <w:tcMar>
              <w:top w:w="60" w:type="dxa"/>
              <w:left w:w="80" w:type="dxa"/>
              <w:bottom w:w="60" w:type="dxa"/>
              <w:right w:w="80" w:type="dxa"/>
            </w:tcMar>
          </w:tcPr>
          <w:p w14:paraId="131DE682" w14:textId="77777777" w:rsidR="00C15E05" w:rsidRDefault="00000000">
            <w:r>
              <w:rPr>
                <w:sz w:val="18"/>
                <w:szCs w:val="18"/>
              </w:rPr>
              <w:t>6,7 % (14,</w:t>
            </w:r>
            <w:proofErr w:type="gramStart"/>
            <w:r>
              <w:rPr>
                <w:sz w:val="18"/>
                <w:szCs w:val="18"/>
              </w:rPr>
              <w:t>0 :</w:t>
            </w:r>
            <w:proofErr w:type="gramEnd"/>
            <w:r>
              <w:rPr>
                <w:sz w:val="18"/>
                <w:szCs w:val="18"/>
              </w:rPr>
              <w:t xml:space="preserve"> 1)</w:t>
            </w:r>
          </w:p>
        </w:tc>
        <w:tc>
          <w:tcPr>
            <w:tcW w:w="1000" w:type="dxa"/>
            <w:tcMar>
              <w:top w:w="60" w:type="dxa"/>
              <w:left w:w="80" w:type="dxa"/>
              <w:bottom w:w="60" w:type="dxa"/>
              <w:right w:w="80" w:type="dxa"/>
            </w:tcMar>
          </w:tcPr>
          <w:p w14:paraId="7D20C863" w14:textId="77777777" w:rsidR="00C15E05" w:rsidRDefault="00000000">
            <w:r>
              <w:rPr>
                <w:sz w:val="18"/>
                <w:szCs w:val="18"/>
              </w:rPr>
              <w:t>CSV</w:t>
            </w:r>
          </w:p>
        </w:tc>
        <w:tc>
          <w:tcPr>
            <w:tcW w:w="1300" w:type="dxa"/>
            <w:tcMar>
              <w:top w:w="60" w:type="dxa"/>
              <w:left w:w="80" w:type="dxa"/>
              <w:bottom w:w="60" w:type="dxa"/>
              <w:right w:w="80" w:type="dxa"/>
            </w:tcMar>
          </w:tcPr>
          <w:p w14:paraId="6DB482E3" w14:textId="77777777" w:rsidR="00C15E05" w:rsidRDefault="00000000">
            <w:r>
              <w:rPr>
                <w:sz w:val="18"/>
                <w:szCs w:val="18"/>
              </w:rPr>
              <w:t>Kaggle</w:t>
            </w:r>
          </w:p>
        </w:tc>
      </w:tr>
      <w:tr w:rsidR="00C15E05" w14:paraId="5BAD419C" w14:textId="77777777">
        <w:tblPrEx>
          <w:tblCellMar>
            <w:top w:w="0" w:type="dxa"/>
            <w:bottom w:w="0" w:type="dxa"/>
          </w:tblCellMar>
        </w:tblPrEx>
        <w:tc>
          <w:tcPr>
            <w:tcW w:w="1700" w:type="dxa"/>
            <w:tcMar>
              <w:top w:w="60" w:type="dxa"/>
              <w:left w:w="80" w:type="dxa"/>
              <w:bottom w:w="60" w:type="dxa"/>
              <w:right w:w="80" w:type="dxa"/>
            </w:tcMar>
          </w:tcPr>
          <w:p w14:paraId="56202A90" w14:textId="77777777" w:rsidR="00C15E05" w:rsidRDefault="00000000">
            <w:r>
              <w:rPr>
                <w:sz w:val="18"/>
                <w:szCs w:val="18"/>
              </w:rPr>
              <w:t>South German Credit</w:t>
            </w:r>
          </w:p>
        </w:tc>
        <w:tc>
          <w:tcPr>
            <w:tcW w:w="900" w:type="dxa"/>
            <w:tcMar>
              <w:top w:w="60" w:type="dxa"/>
              <w:left w:w="80" w:type="dxa"/>
              <w:bottom w:w="60" w:type="dxa"/>
              <w:right w:w="80" w:type="dxa"/>
            </w:tcMar>
          </w:tcPr>
          <w:p w14:paraId="2B0DBADE" w14:textId="77777777" w:rsidR="00C15E05" w:rsidRDefault="00000000">
            <w:r>
              <w:rPr>
                <w:sz w:val="18"/>
                <w:szCs w:val="18"/>
              </w:rPr>
              <w:t>1973-75 (rev. 2020)</w:t>
            </w:r>
          </w:p>
        </w:tc>
        <w:tc>
          <w:tcPr>
            <w:tcW w:w="1200" w:type="dxa"/>
            <w:tcMar>
              <w:top w:w="60" w:type="dxa"/>
              <w:left w:w="80" w:type="dxa"/>
              <w:bottom w:w="60" w:type="dxa"/>
              <w:right w:w="80" w:type="dxa"/>
            </w:tcMar>
          </w:tcPr>
          <w:p w14:paraId="48C6A759" w14:textId="77777777" w:rsidR="00C15E05" w:rsidRDefault="00000000">
            <w:r>
              <w:rPr>
                <w:sz w:val="18"/>
                <w:szCs w:val="18"/>
              </w:rPr>
              <w:t>1.000</w:t>
            </w:r>
          </w:p>
        </w:tc>
        <w:tc>
          <w:tcPr>
            <w:tcW w:w="750" w:type="dxa"/>
            <w:tcMar>
              <w:top w:w="60" w:type="dxa"/>
              <w:left w:w="80" w:type="dxa"/>
              <w:bottom w:w="60" w:type="dxa"/>
              <w:right w:w="80" w:type="dxa"/>
            </w:tcMar>
          </w:tcPr>
          <w:p w14:paraId="080ECCDD" w14:textId="77777777" w:rsidR="00C15E05" w:rsidRDefault="00000000">
            <w:r>
              <w:rPr>
                <w:sz w:val="18"/>
                <w:szCs w:val="18"/>
              </w:rPr>
              <w:t>21</w:t>
            </w:r>
          </w:p>
        </w:tc>
        <w:tc>
          <w:tcPr>
            <w:tcW w:w="1000" w:type="dxa"/>
            <w:tcMar>
              <w:top w:w="60" w:type="dxa"/>
              <w:left w:w="80" w:type="dxa"/>
              <w:bottom w:w="60" w:type="dxa"/>
              <w:right w:w="80" w:type="dxa"/>
            </w:tcMar>
          </w:tcPr>
          <w:p w14:paraId="3AD5F15C" w14:textId="77777777" w:rsidR="00C15E05" w:rsidRDefault="00000000">
            <w:r>
              <w:rPr>
                <w:sz w:val="18"/>
                <w:szCs w:val="18"/>
              </w:rPr>
              <w:t>20</w:t>
            </w:r>
          </w:p>
        </w:tc>
        <w:tc>
          <w:tcPr>
            <w:tcW w:w="1150" w:type="dxa"/>
            <w:tcMar>
              <w:top w:w="60" w:type="dxa"/>
              <w:left w:w="80" w:type="dxa"/>
              <w:bottom w:w="60" w:type="dxa"/>
              <w:right w:w="80" w:type="dxa"/>
            </w:tcMar>
          </w:tcPr>
          <w:p w14:paraId="3C991D4E" w14:textId="77777777" w:rsidR="00C15E05" w:rsidRDefault="00000000">
            <w:r>
              <w:rPr>
                <w:sz w:val="18"/>
                <w:szCs w:val="18"/>
              </w:rPr>
              <w:t>30,0 % (2,</w:t>
            </w:r>
            <w:proofErr w:type="gramStart"/>
            <w:r>
              <w:rPr>
                <w:sz w:val="18"/>
                <w:szCs w:val="18"/>
              </w:rPr>
              <w:t>3 :</w:t>
            </w:r>
            <w:proofErr w:type="gramEnd"/>
            <w:r>
              <w:rPr>
                <w:sz w:val="18"/>
                <w:szCs w:val="18"/>
              </w:rPr>
              <w:t xml:space="preserve"> </w:t>
            </w:r>
            <w:proofErr w:type="gramStart"/>
            <w:r>
              <w:rPr>
                <w:sz w:val="18"/>
                <w:szCs w:val="18"/>
              </w:rPr>
              <w:t>1)*</w:t>
            </w:r>
            <w:proofErr w:type="gramEnd"/>
          </w:p>
        </w:tc>
        <w:tc>
          <w:tcPr>
            <w:tcW w:w="1000" w:type="dxa"/>
            <w:tcMar>
              <w:top w:w="60" w:type="dxa"/>
              <w:left w:w="80" w:type="dxa"/>
              <w:bottom w:w="60" w:type="dxa"/>
              <w:right w:w="80" w:type="dxa"/>
            </w:tcMar>
          </w:tcPr>
          <w:p w14:paraId="59060CBB" w14:textId="77777777" w:rsidR="00C15E05" w:rsidRDefault="00000000">
            <w:r>
              <w:rPr>
                <w:sz w:val="18"/>
                <w:szCs w:val="18"/>
              </w:rPr>
              <w:t>.asc</w:t>
            </w:r>
          </w:p>
        </w:tc>
        <w:tc>
          <w:tcPr>
            <w:tcW w:w="1300" w:type="dxa"/>
            <w:tcMar>
              <w:top w:w="60" w:type="dxa"/>
              <w:left w:w="80" w:type="dxa"/>
              <w:bottom w:w="60" w:type="dxa"/>
              <w:right w:w="80" w:type="dxa"/>
            </w:tcMar>
          </w:tcPr>
          <w:p w14:paraId="58234224" w14:textId="77777777" w:rsidR="00C15E05" w:rsidRDefault="00000000">
            <w:r>
              <w:rPr>
                <w:sz w:val="18"/>
                <w:szCs w:val="18"/>
              </w:rPr>
              <w:t>UCI #573</w:t>
            </w:r>
          </w:p>
        </w:tc>
      </w:tr>
      <w:tr w:rsidR="00C15E05" w14:paraId="00704EA6" w14:textId="77777777">
        <w:tblPrEx>
          <w:tblCellMar>
            <w:top w:w="0" w:type="dxa"/>
            <w:bottom w:w="0" w:type="dxa"/>
          </w:tblCellMar>
        </w:tblPrEx>
        <w:tc>
          <w:tcPr>
            <w:tcW w:w="1700" w:type="dxa"/>
            <w:tcMar>
              <w:top w:w="60" w:type="dxa"/>
              <w:left w:w="80" w:type="dxa"/>
              <w:bottom w:w="60" w:type="dxa"/>
              <w:right w:w="80" w:type="dxa"/>
            </w:tcMar>
          </w:tcPr>
          <w:p w14:paraId="20BAD20B" w14:textId="77777777" w:rsidR="00C15E05" w:rsidRPr="00E672BD" w:rsidRDefault="00000000">
            <w:pPr>
              <w:rPr>
                <w:lang w:val="en-US"/>
              </w:rPr>
            </w:pPr>
            <w:r w:rsidRPr="00E672BD">
              <w:rPr>
                <w:sz w:val="18"/>
                <w:szCs w:val="18"/>
                <w:lang w:val="en-US"/>
              </w:rPr>
              <w:t>Default of Credit Card Clients</w:t>
            </w:r>
          </w:p>
        </w:tc>
        <w:tc>
          <w:tcPr>
            <w:tcW w:w="900" w:type="dxa"/>
            <w:tcMar>
              <w:top w:w="60" w:type="dxa"/>
              <w:left w:w="80" w:type="dxa"/>
              <w:bottom w:w="60" w:type="dxa"/>
              <w:right w:w="80" w:type="dxa"/>
            </w:tcMar>
          </w:tcPr>
          <w:p w14:paraId="3A18B7B4" w14:textId="77777777" w:rsidR="00C15E05" w:rsidRDefault="00000000">
            <w:r>
              <w:rPr>
                <w:sz w:val="18"/>
                <w:szCs w:val="18"/>
              </w:rPr>
              <w:t>2005 (UCI 2016)</w:t>
            </w:r>
          </w:p>
        </w:tc>
        <w:tc>
          <w:tcPr>
            <w:tcW w:w="1200" w:type="dxa"/>
            <w:tcMar>
              <w:top w:w="60" w:type="dxa"/>
              <w:left w:w="80" w:type="dxa"/>
              <w:bottom w:w="60" w:type="dxa"/>
              <w:right w:w="80" w:type="dxa"/>
            </w:tcMar>
          </w:tcPr>
          <w:p w14:paraId="614C47B6" w14:textId="77777777" w:rsidR="00C15E05" w:rsidRDefault="00000000">
            <w:r>
              <w:rPr>
                <w:sz w:val="18"/>
                <w:szCs w:val="18"/>
              </w:rPr>
              <w:t>30.000</w:t>
            </w:r>
          </w:p>
        </w:tc>
        <w:tc>
          <w:tcPr>
            <w:tcW w:w="750" w:type="dxa"/>
            <w:tcMar>
              <w:top w:w="60" w:type="dxa"/>
              <w:left w:w="80" w:type="dxa"/>
              <w:bottom w:w="60" w:type="dxa"/>
              <w:right w:w="80" w:type="dxa"/>
            </w:tcMar>
          </w:tcPr>
          <w:p w14:paraId="4667EA5B" w14:textId="77777777" w:rsidR="00C15E05" w:rsidRDefault="00000000">
            <w:r>
              <w:rPr>
                <w:sz w:val="18"/>
                <w:szCs w:val="18"/>
              </w:rPr>
              <w:t>25</w:t>
            </w:r>
          </w:p>
        </w:tc>
        <w:tc>
          <w:tcPr>
            <w:tcW w:w="1000" w:type="dxa"/>
            <w:tcMar>
              <w:top w:w="60" w:type="dxa"/>
              <w:left w:w="80" w:type="dxa"/>
              <w:bottom w:w="60" w:type="dxa"/>
              <w:right w:w="80" w:type="dxa"/>
            </w:tcMar>
          </w:tcPr>
          <w:p w14:paraId="1B968BB7" w14:textId="77777777" w:rsidR="00C15E05" w:rsidRDefault="00000000">
            <w:r>
              <w:rPr>
                <w:sz w:val="18"/>
                <w:szCs w:val="18"/>
              </w:rPr>
              <w:t>23</w:t>
            </w:r>
          </w:p>
        </w:tc>
        <w:tc>
          <w:tcPr>
            <w:tcW w:w="1150" w:type="dxa"/>
            <w:tcMar>
              <w:top w:w="60" w:type="dxa"/>
              <w:left w:w="80" w:type="dxa"/>
              <w:bottom w:w="60" w:type="dxa"/>
              <w:right w:w="80" w:type="dxa"/>
            </w:tcMar>
          </w:tcPr>
          <w:p w14:paraId="797A991C" w14:textId="77777777" w:rsidR="00C15E05" w:rsidRDefault="00000000">
            <w:r>
              <w:rPr>
                <w:sz w:val="18"/>
                <w:szCs w:val="18"/>
              </w:rPr>
              <w:t>22,1 % (3,</w:t>
            </w:r>
            <w:proofErr w:type="gramStart"/>
            <w:r>
              <w:rPr>
                <w:sz w:val="18"/>
                <w:szCs w:val="18"/>
              </w:rPr>
              <w:t>5 :</w:t>
            </w:r>
            <w:proofErr w:type="gramEnd"/>
            <w:r>
              <w:rPr>
                <w:sz w:val="18"/>
                <w:szCs w:val="18"/>
              </w:rPr>
              <w:t xml:space="preserve"> 1)</w:t>
            </w:r>
          </w:p>
        </w:tc>
        <w:tc>
          <w:tcPr>
            <w:tcW w:w="1000" w:type="dxa"/>
            <w:tcMar>
              <w:top w:w="60" w:type="dxa"/>
              <w:left w:w="80" w:type="dxa"/>
              <w:bottom w:w="60" w:type="dxa"/>
              <w:right w:w="80" w:type="dxa"/>
            </w:tcMar>
          </w:tcPr>
          <w:p w14:paraId="6F50B8C3" w14:textId="77777777" w:rsidR="00C15E05" w:rsidRDefault="00000000">
            <w:r>
              <w:rPr>
                <w:sz w:val="18"/>
                <w:szCs w:val="18"/>
              </w:rPr>
              <w:t>.xls</w:t>
            </w:r>
          </w:p>
        </w:tc>
        <w:tc>
          <w:tcPr>
            <w:tcW w:w="1300" w:type="dxa"/>
            <w:tcMar>
              <w:top w:w="60" w:type="dxa"/>
              <w:left w:w="80" w:type="dxa"/>
              <w:bottom w:w="60" w:type="dxa"/>
              <w:right w:w="80" w:type="dxa"/>
            </w:tcMar>
          </w:tcPr>
          <w:p w14:paraId="06CCF8C5" w14:textId="77777777" w:rsidR="00C15E05" w:rsidRDefault="00000000">
            <w:r>
              <w:rPr>
                <w:sz w:val="18"/>
                <w:szCs w:val="18"/>
              </w:rPr>
              <w:t>UCI #350</w:t>
            </w:r>
          </w:p>
        </w:tc>
      </w:tr>
      <w:tr w:rsidR="00C15E05" w14:paraId="24EB520D" w14:textId="77777777">
        <w:tblPrEx>
          <w:tblCellMar>
            <w:top w:w="0" w:type="dxa"/>
            <w:bottom w:w="0" w:type="dxa"/>
          </w:tblCellMar>
        </w:tblPrEx>
        <w:tc>
          <w:tcPr>
            <w:tcW w:w="1700" w:type="dxa"/>
            <w:tcMar>
              <w:top w:w="60" w:type="dxa"/>
              <w:left w:w="80" w:type="dxa"/>
              <w:bottom w:w="60" w:type="dxa"/>
              <w:right w:w="80" w:type="dxa"/>
            </w:tcMar>
          </w:tcPr>
          <w:p w14:paraId="6F85E8CE" w14:textId="77777777" w:rsidR="00C15E05" w:rsidRDefault="00000000">
            <w:r>
              <w:rPr>
                <w:sz w:val="18"/>
                <w:szCs w:val="18"/>
              </w:rPr>
              <w:t>Home Credit Default Risk</w:t>
            </w:r>
          </w:p>
        </w:tc>
        <w:tc>
          <w:tcPr>
            <w:tcW w:w="900" w:type="dxa"/>
            <w:tcMar>
              <w:top w:w="60" w:type="dxa"/>
              <w:left w:w="80" w:type="dxa"/>
              <w:bottom w:w="60" w:type="dxa"/>
              <w:right w:w="80" w:type="dxa"/>
            </w:tcMar>
          </w:tcPr>
          <w:p w14:paraId="7F411102" w14:textId="77777777" w:rsidR="00C15E05" w:rsidRDefault="00000000">
            <w:r>
              <w:rPr>
                <w:sz w:val="18"/>
                <w:szCs w:val="18"/>
              </w:rPr>
              <w:t>2018</w:t>
            </w:r>
          </w:p>
        </w:tc>
        <w:tc>
          <w:tcPr>
            <w:tcW w:w="1200" w:type="dxa"/>
            <w:tcMar>
              <w:top w:w="60" w:type="dxa"/>
              <w:left w:w="80" w:type="dxa"/>
              <w:bottom w:w="60" w:type="dxa"/>
              <w:right w:w="80" w:type="dxa"/>
            </w:tcMar>
          </w:tcPr>
          <w:p w14:paraId="7E366DF0" w14:textId="77777777" w:rsidR="00C15E05" w:rsidRDefault="00000000">
            <w:r>
              <w:rPr>
                <w:sz w:val="18"/>
                <w:szCs w:val="18"/>
              </w:rPr>
              <w:t>307.511 (tabla principal)</w:t>
            </w:r>
          </w:p>
        </w:tc>
        <w:tc>
          <w:tcPr>
            <w:tcW w:w="750" w:type="dxa"/>
            <w:tcMar>
              <w:top w:w="60" w:type="dxa"/>
              <w:left w:w="80" w:type="dxa"/>
              <w:bottom w:w="60" w:type="dxa"/>
              <w:right w:w="80" w:type="dxa"/>
            </w:tcMar>
          </w:tcPr>
          <w:p w14:paraId="092485E7" w14:textId="77777777" w:rsidR="00C15E05" w:rsidRDefault="00000000">
            <w:r>
              <w:rPr>
                <w:sz w:val="18"/>
                <w:szCs w:val="18"/>
              </w:rPr>
              <w:t>122 (tabla principal)</w:t>
            </w:r>
          </w:p>
        </w:tc>
        <w:tc>
          <w:tcPr>
            <w:tcW w:w="1000" w:type="dxa"/>
            <w:tcMar>
              <w:top w:w="60" w:type="dxa"/>
              <w:left w:w="80" w:type="dxa"/>
              <w:bottom w:w="60" w:type="dxa"/>
              <w:right w:w="80" w:type="dxa"/>
            </w:tcMar>
          </w:tcPr>
          <w:p w14:paraId="5931B02E" w14:textId="77777777" w:rsidR="00C15E05" w:rsidRDefault="00000000">
            <w:r>
              <w:rPr>
                <w:sz w:val="18"/>
                <w:szCs w:val="18"/>
              </w:rPr>
              <w:t>120</w:t>
            </w:r>
          </w:p>
        </w:tc>
        <w:tc>
          <w:tcPr>
            <w:tcW w:w="1150" w:type="dxa"/>
            <w:tcMar>
              <w:top w:w="60" w:type="dxa"/>
              <w:left w:w="80" w:type="dxa"/>
              <w:bottom w:w="60" w:type="dxa"/>
              <w:right w:w="80" w:type="dxa"/>
            </w:tcMar>
          </w:tcPr>
          <w:p w14:paraId="6240B691" w14:textId="77777777" w:rsidR="00C15E05" w:rsidRDefault="00000000">
            <w:r>
              <w:rPr>
                <w:sz w:val="18"/>
                <w:szCs w:val="18"/>
              </w:rPr>
              <w:t>8,1 % (11,</w:t>
            </w:r>
            <w:proofErr w:type="gramStart"/>
            <w:r>
              <w:rPr>
                <w:sz w:val="18"/>
                <w:szCs w:val="18"/>
              </w:rPr>
              <w:t>4 :</w:t>
            </w:r>
            <w:proofErr w:type="gramEnd"/>
            <w:r>
              <w:rPr>
                <w:sz w:val="18"/>
                <w:szCs w:val="18"/>
              </w:rPr>
              <w:t xml:space="preserve"> 1)</w:t>
            </w:r>
          </w:p>
        </w:tc>
        <w:tc>
          <w:tcPr>
            <w:tcW w:w="1000" w:type="dxa"/>
            <w:tcMar>
              <w:top w:w="60" w:type="dxa"/>
              <w:left w:w="80" w:type="dxa"/>
              <w:bottom w:w="60" w:type="dxa"/>
              <w:right w:w="80" w:type="dxa"/>
            </w:tcMar>
          </w:tcPr>
          <w:p w14:paraId="67A8BB0E" w14:textId="77777777" w:rsidR="00C15E05" w:rsidRDefault="00000000">
            <w:r>
              <w:rPr>
                <w:sz w:val="18"/>
                <w:szCs w:val="18"/>
              </w:rPr>
              <w:t>8 CSV</w:t>
            </w:r>
          </w:p>
        </w:tc>
        <w:tc>
          <w:tcPr>
            <w:tcW w:w="1300" w:type="dxa"/>
            <w:tcMar>
              <w:top w:w="60" w:type="dxa"/>
              <w:left w:w="80" w:type="dxa"/>
              <w:bottom w:w="60" w:type="dxa"/>
              <w:right w:w="80" w:type="dxa"/>
            </w:tcMar>
          </w:tcPr>
          <w:p w14:paraId="4F1CF4E2" w14:textId="77777777" w:rsidR="00C15E05" w:rsidRDefault="00000000">
            <w:r>
              <w:rPr>
                <w:sz w:val="18"/>
                <w:szCs w:val="18"/>
              </w:rPr>
              <w:t>Kaggle</w:t>
            </w:r>
          </w:p>
        </w:tc>
      </w:tr>
      <w:tr w:rsidR="00C15E05" w14:paraId="027BA2C2" w14:textId="77777777">
        <w:tblPrEx>
          <w:tblCellMar>
            <w:top w:w="0" w:type="dxa"/>
            <w:bottom w:w="0" w:type="dxa"/>
          </w:tblCellMar>
        </w:tblPrEx>
        <w:tc>
          <w:tcPr>
            <w:tcW w:w="1700" w:type="dxa"/>
            <w:tcMar>
              <w:top w:w="60" w:type="dxa"/>
              <w:left w:w="80" w:type="dxa"/>
              <w:bottom w:w="60" w:type="dxa"/>
              <w:right w:w="80" w:type="dxa"/>
            </w:tcMar>
          </w:tcPr>
          <w:p w14:paraId="72B78F4A" w14:textId="77777777" w:rsidR="00C15E05" w:rsidRDefault="00000000">
            <w:r>
              <w:rPr>
                <w:sz w:val="18"/>
                <w:szCs w:val="18"/>
              </w:rPr>
              <w:t>Lending Club</w:t>
            </w:r>
          </w:p>
        </w:tc>
        <w:tc>
          <w:tcPr>
            <w:tcW w:w="900" w:type="dxa"/>
            <w:tcMar>
              <w:top w:w="60" w:type="dxa"/>
              <w:left w:w="80" w:type="dxa"/>
              <w:bottom w:w="60" w:type="dxa"/>
              <w:right w:w="80" w:type="dxa"/>
            </w:tcMar>
          </w:tcPr>
          <w:p w14:paraId="07011088" w14:textId="77777777" w:rsidR="00C15E05" w:rsidRDefault="00000000">
            <w:r>
              <w:rPr>
                <w:sz w:val="18"/>
                <w:szCs w:val="18"/>
              </w:rPr>
              <w:t>2007-2018</w:t>
            </w:r>
          </w:p>
        </w:tc>
        <w:tc>
          <w:tcPr>
            <w:tcW w:w="1200" w:type="dxa"/>
            <w:tcMar>
              <w:top w:w="60" w:type="dxa"/>
              <w:left w:w="80" w:type="dxa"/>
              <w:bottom w:w="60" w:type="dxa"/>
              <w:right w:w="80" w:type="dxa"/>
            </w:tcMar>
          </w:tcPr>
          <w:p w14:paraId="4EE3F49E" w14:textId="77777777" w:rsidR="00C15E05" w:rsidRDefault="00000000">
            <w:r>
              <w:rPr>
                <w:sz w:val="18"/>
                <w:szCs w:val="18"/>
              </w:rPr>
              <w:t>2.260.668</w:t>
            </w:r>
          </w:p>
        </w:tc>
        <w:tc>
          <w:tcPr>
            <w:tcW w:w="750" w:type="dxa"/>
            <w:tcMar>
              <w:top w:w="60" w:type="dxa"/>
              <w:left w:w="80" w:type="dxa"/>
              <w:bottom w:w="60" w:type="dxa"/>
              <w:right w:w="80" w:type="dxa"/>
            </w:tcMar>
          </w:tcPr>
          <w:p w14:paraId="1A2C289E" w14:textId="77777777" w:rsidR="00C15E05" w:rsidRDefault="00000000">
            <w:r>
              <w:rPr>
                <w:sz w:val="18"/>
                <w:szCs w:val="18"/>
              </w:rPr>
              <w:t>151</w:t>
            </w:r>
          </w:p>
        </w:tc>
        <w:tc>
          <w:tcPr>
            <w:tcW w:w="1000" w:type="dxa"/>
            <w:tcMar>
              <w:top w:w="60" w:type="dxa"/>
              <w:left w:w="80" w:type="dxa"/>
              <w:bottom w:w="60" w:type="dxa"/>
              <w:right w:w="80" w:type="dxa"/>
            </w:tcMar>
          </w:tcPr>
          <w:p w14:paraId="2B1EF95C" w14:textId="77777777" w:rsidR="00C15E05" w:rsidRDefault="00000000">
            <w:r>
              <w:rPr>
                <w:sz w:val="18"/>
                <w:szCs w:val="18"/>
              </w:rPr>
              <w:t>por determinar</w:t>
            </w:r>
          </w:p>
        </w:tc>
        <w:tc>
          <w:tcPr>
            <w:tcW w:w="1150" w:type="dxa"/>
            <w:tcMar>
              <w:top w:w="60" w:type="dxa"/>
              <w:left w:w="80" w:type="dxa"/>
              <w:bottom w:w="60" w:type="dxa"/>
              <w:right w:w="80" w:type="dxa"/>
            </w:tcMar>
          </w:tcPr>
          <w:p w14:paraId="5E510E98" w14:textId="77777777" w:rsidR="00C15E05" w:rsidRDefault="00000000">
            <w:r>
              <w:rPr>
                <w:sz w:val="18"/>
                <w:szCs w:val="18"/>
              </w:rPr>
              <w:t>20,0 % (4,</w:t>
            </w:r>
            <w:proofErr w:type="gramStart"/>
            <w:r>
              <w:rPr>
                <w:sz w:val="18"/>
                <w:szCs w:val="18"/>
              </w:rPr>
              <w:t>0 :</w:t>
            </w:r>
            <w:proofErr w:type="gramEnd"/>
            <w:r>
              <w:rPr>
                <w:sz w:val="18"/>
                <w:szCs w:val="18"/>
              </w:rPr>
              <w:t xml:space="preserve"> 1), solo cerrados</w:t>
            </w:r>
          </w:p>
        </w:tc>
        <w:tc>
          <w:tcPr>
            <w:tcW w:w="1000" w:type="dxa"/>
            <w:tcMar>
              <w:top w:w="60" w:type="dxa"/>
              <w:left w:w="80" w:type="dxa"/>
              <w:bottom w:w="60" w:type="dxa"/>
              <w:right w:w="80" w:type="dxa"/>
            </w:tcMar>
          </w:tcPr>
          <w:p w14:paraId="66A9C4B1" w14:textId="77777777" w:rsidR="00C15E05" w:rsidRDefault="00000000">
            <w:r>
              <w:rPr>
                <w:sz w:val="18"/>
                <w:szCs w:val="18"/>
              </w:rPr>
              <w:t>CSV</w:t>
            </w:r>
          </w:p>
        </w:tc>
        <w:tc>
          <w:tcPr>
            <w:tcW w:w="1300" w:type="dxa"/>
            <w:tcMar>
              <w:top w:w="60" w:type="dxa"/>
              <w:left w:w="80" w:type="dxa"/>
              <w:bottom w:w="60" w:type="dxa"/>
              <w:right w:w="80" w:type="dxa"/>
            </w:tcMar>
          </w:tcPr>
          <w:p w14:paraId="19EBB496" w14:textId="77777777" w:rsidR="00C15E05" w:rsidRDefault="00000000">
            <w:r>
              <w:rPr>
                <w:sz w:val="18"/>
                <w:szCs w:val="18"/>
              </w:rPr>
              <w:t>Kaggle (mirror)</w:t>
            </w:r>
          </w:p>
        </w:tc>
      </w:tr>
    </w:tbl>
    <w:p w14:paraId="5C1F8BCC" w14:textId="77777777" w:rsidR="00C15E05" w:rsidRDefault="00000000">
      <w:pPr>
        <w:spacing w:after="160"/>
      </w:pPr>
      <w:r>
        <w:lastRenderedPageBreak/>
        <w:t>* South German Credit: el 30 % procede de un muestreo estratificado con los créditos malos sobremuestreados; la prevalencia real rondaba el 5 % (Grömping, 2019), así que no es comparable con las tasas de los demás datasets.</w:t>
      </w:r>
    </w:p>
    <w:p w14:paraId="4142E81B" w14:textId="77777777" w:rsidR="00C15E05" w:rsidRDefault="00000000">
      <w:pPr>
        <w:spacing w:after="160"/>
      </w:pPr>
      <w:r>
        <w:t>Ballegeer et al. (2025) reportan Give Me Some Credit con N = 112.915 y 6,74 % de impago; la diferencia con las cifras de esta tabla se debe a su preprocesado, no a un error de cálculo.</w:t>
      </w:r>
    </w:p>
    <w:p w14:paraId="3ECF19DE" w14:textId="77777777" w:rsidR="00C15E05" w:rsidRDefault="00000000">
      <w:pPr>
        <w:spacing w:after="120"/>
      </w:pPr>
      <w:r>
        <w:t>Para los experimentos de estabilidad, que obligan a reentrenar decenas de modelos y recalcular las explicaciones cada vez, los más adecuados son el de Taiwán y South German Credit. El de Taiwán tiene un tamaño suficiente (30.000 registros) para que los resultados sean fiables sin que el coste de cómputo se dispare, y tiene pocas variables, de significado financiero directo, aunque con códigos sin documentar en tres de ellas. South German Credit es pequeño (1.000 observaciones), y precisamente por eso sirve de contraste: permite ver cuánto varían las explicaciones cuando hay pocos datos. Home Credit es el más realista y el que se había planteado al principio, pero requiere unir y agregar varias tablas antes de llegar a la parte de explicabilidad. Lending Club obliga a construir la variable objetivo y a revisar columna por columna las variables con fuga de información. Give Me Some Credit queda como alternativa intermedia, con más volumen y un desequilibrio más fuerte que el de Taiwán.</w:t>
      </w:r>
    </w:p>
    <w:p w14:paraId="2A202D1F" w14:textId="77777777" w:rsidR="00C15E05" w:rsidRDefault="00000000">
      <w:pPr>
        <w:pStyle w:val="Ttulo1"/>
        <w:spacing w:before="320" w:after="160"/>
      </w:pPr>
      <w:r>
        <w:t>Revisión de la literatura</w:t>
      </w:r>
    </w:p>
    <w:p w14:paraId="2F6FBF13" w14:textId="77777777" w:rsidR="00C15E05" w:rsidRDefault="00000000">
      <w:pPr>
        <w:spacing w:after="160"/>
      </w:pPr>
      <w:r>
        <w:rPr>
          <w:b/>
          <w:bCs/>
        </w:rPr>
        <w:t>Fundamentos</w:t>
      </w:r>
    </w:p>
    <w:p w14:paraId="6D021A4F" w14:textId="77777777" w:rsidR="00C15E05" w:rsidRDefault="00000000">
      <w:pPr>
        <w:spacing w:after="40"/>
      </w:pPr>
      <w:r>
        <w:t xml:space="preserve">1. Adadi, A., &amp; Berrada, M. (2018). </w:t>
      </w:r>
      <w:r w:rsidRPr="00E672BD">
        <w:rPr>
          <w:lang w:val="en-US"/>
        </w:rPr>
        <w:t xml:space="preserve">Peeking inside the </w:t>
      </w:r>
      <w:proofErr w:type="gramStart"/>
      <w:r w:rsidRPr="00E672BD">
        <w:rPr>
          <w:lang w:val="en-US"/>
        </w:rPr>
        <w:t>black-box</w:t>
      </w:r>
      <w:proofErr w:type="gramEnd"/>
      <w:r w:rsidRPr="00E672BD">
        <w:rPr>
          <w:lang w:val="en-US"/>
        </w:rPr>
        <w:t xml:space="preserve">: A survey on explainable artificial intelligence (XAI). </w:t>
      </w:r>
      <w:r>
        <w:rPr>
          <w:i/>
          <w:iCs/>
        </w:rPr>
        <w:t>IEEE Access, 6</w:t>
      </w:r>
      <w:r>
        <w:t>, 52138–52160.</w:t>
      </w:r>
    </w:p>
    <w:p w14:paraId="04B843CF" w14:textId="77777777" w:rsidR="00C15E05" w:rsidRDefault="00000000">
      <w:pPr>
        <w:spacing w:after="60"/>
      </w:pPr>
      <w:hyperlink r:id="rId11" w:history="1">
        <w:r>
          <w:rPr>
            <w:rStyle w:val="Hipervnculo"/>
          </w:rPr>
          <w:t>https://doi.org/10.1109/ACCESS.2018.2870052</w:t>
        </w:r>
      </w:hyperlink>
    </w:p>
    <w:p w14:paraId="2C0E2076" w14:textId="77777777" w:rsidR="00C15E05" w:rsidRDefault="00000000">
      <w:pPr>
        <w:spacing w:after="240"/>
      </w:pPr>
      <w:r>
        <w:t>Revisión general de la IA explicable. Clasifica los métodos (intrínsecos frente a post-hoc, locales frente a globales) y explica por qué hacen falta explicaciones para los modelos de caja negra. Útil para el marco teórico y para fijar la terminología.</w:t>
      </w:r>
    </w:p>
    <w:p w14:paraId="3500148D" w14:textId="77777777" w:rsidR="00C15E05" w:rsidRPr="00E672BD" w:rsidRDefault="00000000">
      <w:pPr>
        <w:spacing w:after="40"/>
        <w:rPr>
          <w:lang w:val="en-US"/>
        </w:rPr>
      </w:pPr>
      <w:r w:rsidRPr="00E672BD">
        <w:rPr>
          <w:lang w:val="en-US"/>
        </w:rPr>
        <w:t xml:space="preserve">2. Ribeiro, M. T., Singh, S., &amp; Guestrin, C. (2016). «Why should I trust </w:t>
      </w:r>
      <w:proofErr w:type="gramStart"/>
      <w:r w:rsidRPr="00E672BD">
        <w:rPr>
          <w:lang w:val="en-US"/>
        </w:rPr>
        <w:t>you?»</w:t>
      </w:r>
      <w:proofErr w:type="gramEnd"/>
      <w:r w:rsidRPr="00E672BD">
        <w:rPr>
          <w:lang w:val="en-US"/>
        </w:rPr>
        <w:t xml:space="preserve">: Explaining the predictions of any classifier. En </w:t>
      </w:r>
      <w:r w:rsidRPr="00E672BD">
        <w:rPr>
          <w:i/>
          <w:iCs/>
          <w:lang w:val="en-US"/>
        </w:rPr>
        <w:t>Proceedings of the 22nd ACM SIGKDD International Conference on Knowledge Discovery and Data Mining</w:t>
      </w:r>
      <w:r w:rsidRPr="00E672BD">
        <w:rPr>
          <w:lang w:val="en-US"/>
        </w:rPr>
        <w:t xml:space="preserve"> (pp. 1135–1144).</w:t>
      </w:r>
    </w:p>
    <w:p w14:paraId="5F213C36" w14:textId="77777777" w:rsidR="00C15E05" w:rsidRDefault="00000000">
      <w:pPr>
        <w:spacing w:after="60"/>
      </w:pPr>
      <w:hyperlink r:id="rId12" w:history="1">
        <w:r>
          <w:rPr>
            <w:rStyle w:val="Hipervnculo"/>
          </w:rPr>
          <w:t>https://arxiv.org/abs/1602.04938</w:t>
        </w:r>
      </w:hyperlink>
    </w:p>
    <w:p w14:paraId="190FDF67" w14:textId="77777777" w:rsidR="00C15E05" w:rsidRDefault="00000000">
      <w:pPr>
        <w:spacing w:after="240"/>
      </w:pPr>
      <w:r>
        <w:t>Introduce LIME, que aproxima el modelo con una regresión lineal local alrededor de cada predicción. Queda fuera del alcance del TFG (se evalúa un único método, SHAP), pero los papers de estabilidad en credit scoring siempre lo comparan con SHAP y hay que conocerlo para el estado del arte.</w:t>
      </w:r>
    </w:p>
    <w:p w14:paraId="10FA2898" w14:textId="77777777" w:rsidR="00C15E05" w:rsidRPr="00E672BD" w:rsidRDefault="00000000">
      <w:pPr>
        <w:spacing w:after="40"/>
        <w:rPr>
          <w:lang w:val="en-US"/>
        </w:rPr>
      </w:pPr>
      <w:r w:rsidRPr="00E672BD">
        <w:rPr>
          <w:lang w:val="en-US"/>
        </w:rPr>
        <w:t xml:space="preserve">3. Lundberg, S. M., &amp; Lee, S.-I. (2017). A unified approach to interpreting model predictions. En </w:t>
      </w:r>
      <w:r w:rsidRPr="00E672BD">
        <w:rPr>
          <w:i/>
          <w:iCs/>
          <w:lang w:val="en-US"/>
        </w:rPr>
        <w:t>Advances in Neural Information Processing Systems 30</w:t>
      </w:r>
      <w:r w:rsidRPr="00E672BD">
        <w:rPr>
          <w:lang w:val="en-US"/>
        </w:rPr>
        <w:t xml:space="preserve"> (pp. 4765–4774).</w:t>
      </w:r>
    </w:p>
    <w:p w14:paraId="67F40F35" w14:textId="77777777" w:rsidR="00C15E05" w:rsidRPr="00E672BD" w:rsidRDefault="00000000">
      <w:pPr>
        <w:spacing w:after="60"/>
        <w:rPr>
          <w:lang w:val="en-US"/>
        </w:rPr>
      </w:pPr>
      <w:hyperlink r:id="rId13" w:history="1">
        <w:r w:rsidRPr="00E672BD">
          <w:rPr>
            <w:rStyle w:val="Hipervnculo"/>
            <w:lang w:val="en-US"/>
          </w:rPr>
          <w:t>https://proceedings.neurips.cc/paper_files/paper/2017/hash/8a20a8621978632d76c43dfd28b67767-Abstract.html</w:t>
        </w:r>
      </w:hyperlink>
    </w:p>
    <w:p w14:paraId="18F842BE" w14:textId="77777777" w:rsidR="00C15E05" w:rsidRDefault="00000000">
      <w:pPr>
        <w:spacing w:after="240"/>
      </w:pPr>
      <w:r>
        <w:t>Paper original de SHAP. Unifica varios métodos de atribución bajo los valores de Shapley y demuestra sus propiedades. Es la base del método que se evalúa en el TFG.</w:t>
      </w:r>
    </w:p>
    <w:p w14:paraId="07252860" w14:textId="77777777" w:rsidR="00C15E05" w:rsidRDefault="00000000">
      <w:pPr>
        <w:spacing w:after="40"/>
      </w:pPr>
      <w:r w:rsidRPr="00E672BD">
        <w:rPr>
          <w:lang w:val="en-US"/>
        </w:rPr>
        <w:t xml:space="preserve">4. Lundberg, S. M., Erion, G., Chen, H., DeGrave, A., Prutkin, J. M., Nair, B., Katz, R., Himmelfarb, J., Bansal, N., &amp; Lee, S.-I. (2020). From local explanations to global understanding with explainable AI for trees. </w:t>
      </w:r>
      <w:r>
        <w:rPr>
          <w:i/>
          <w:iCs/>
        </w:rPr>
        <w:t>Nature Machine Intelligence, 2</w:t>
      </w:r>
      <w:r>
        <w:t>(1), 56–67.</w:t>
      </w:r>
    </w:p>
    <w:p w14:paraId="378AAAF1" w14:textId="77777777" w:rsidR="00C15E05" w:rsidRDefault="00000000">
      <w:pPr>
        <w:spacing w:after="60"/>
      </w:pPr>
      <w:hyperlink r:id="rId14" w:history="1">
        <w:r>
          <w:rPr>
            <w:rStyle w:val="Hipervnculo"/>
          </w:rPr>
          <w:t>https://doi.org/10.1038/s42256-019-0138-9</w:t>
        </w:r>
      </w:hyperlink>
    </w:p>
    <w:p w14:paraId="5DCC9EA4" w14:textId="77777777" w:rsidR="00C15E05" w:rsidRDefault="00000000">
      <w:pPr>
        <w:spacing w:after="240"/>
      </w:pPr>
      <w:r>
        <w:t>Presenta TreeSHAP, el algoritmo exacto para calcular SHAP en modelos de árboles, y cómo pasar de explicaciones locales a globales. Es el que se usará, ya que XGBoost es un modelo de árboles.</w:t>
      </w:r>
    </w:p>
    <w:p w14:paraId="0DEED12C" w14:textId="77777777" w:rsidR="00C15E05" w:rsidRPr="00E672BD" w:rsidRDefault="00000000">
      <w:pPr>
        <w:spacing w:after="40"/>
        <w:rPr>
          <w:lang w:val="en-US"/>
        </w:rPr>
      </w:pPr>
      <w:r w:rsidRPr="00E672BD">
        <w:rPr>
          <w:lang w:val="en-US"/>
        </w:rPr>
        <w:lastRenderedPageBreak/>
        <w:t xml:space="preserve">5. Chen, T., &amp; Guestrin, C. (2016). XGBoost: A scalable tree boosting system. En </w:t>
      </w:r>
      <w:r w:rsidRPr="00E672BD">
        <w:rPr>
          <w:i/>
          <w:iCs/>
          <w:lang w:val="en-US"/>
        </w:rPr>
        <w:t>Proceedings of the 22nd ACM SIGKDD International Conference on Knowledge Discovery and Data Mining</w:t>
      </w:r>
      <w:r w:rsidRPr="00E672BD">
        <w:rPr>
          <w:lang w:val="en-US"/>
        </w:rPr>
        <w:t xml:space="preserve"> (pp. 785–794).</w:t>
      </w:r>
    </w:p>
    <w:p w14:paraId="1DDB456D" w14:textId="77777777" w:rsidR="00C15E05" w:rsidRDefault="00000000">
      <w:pPr>
        <w:spacing w:after="60"/>
      </w:pPr>
      <w:hyperlink r:id="rId15" w:history="1">
        <w:r>
          <w:rPr>
            <w:rStyle w:val="Hipervnculo"/>
          </w:rPr>
          <w:t>https://doi.org/10.1145/2939672.2939785</w:t>
        </w:r>
      </w:hyperlink>
    </w:p>
    <w:p w14:paraId="0003222B" w14:textId="77777777" w:rsidR="00C15E05" w:rsidRDefault="00000000">
      <w:pPr>
        <w:spacing w:after="240"/>
      </w:pPr>
      <w:r>
        <w:t>Paper original de XGBoost. Se cita como referencia del modelo de caja negra.</w:t>
      </w:r>
    </w:p>
    <w:p w14:paraId="13428E9C" w14:textId="77777777" w:rsidR="00C15E05" w:rsidRPr="00E672BD" w:rsidRDefault="00000000">
      <w:pPr>
        <w:spacing w:after="40"/>
        <w:rPr>
          <w:lang w:val="en-US"/>
        </w:rPr>
      </w:pPr>
      <w:r w:rsidRPr="00E672BD">
        <w:rPr>
          <w:lang w:val="en-US"/>
        </w:rPr>
        <w:t xml:space="preserve">6. Lessmann, S., Baesens, B., Seow, H.-V., &amp; Thomas, L. C. (2015). Benchmarking state-of-the-art classification algorithms for credit scoring: An update of research. </w:t>
      </w:r>
      <w:r w:rsidRPr="00E672BD">
        <w:rPr>
          <w:i/>
          <w:iCs/>
          <w:lang w:val="en-US"/>
        </w:rPr>
        <w:t>European Journal of Operational Research, 247</w:t>
      </w:r>
      <w:r w:rsidRPr="00E672BD">
        <w:rPr>
          <w:lang w:val="en-US"/>
        </w:rPr>
        <w:t>(1), 124–136.</w:t>
      </w:r>
    </w:p>
    <w:p w14:paraId="7B65B8FB" w14:textId="77777777" w:rsidR="00C15E05" w:rsidRPr="00E672BD" w:rsidRDefault="00000000">
      <w:pPr>
        <w:spacing w:after="60"/>
        <w:rPr>
          <w:lang w:val="en-US"/>
        </w:rPr>
      </w:pPr>
      <w:hyperlink r:id="rId16" w:history="1">
        <w:r w:rsidRPr="00E672BD">
          <w:rPr>
            <w:rStyle w:val="Hipervnculo"/>
            <w:lang w:val="en-US"/>
          </w:rPr>
          <w:t>https://doi.org/10.1016/j.ejor.2015.05.030</w:t>
        </w:r>
      </w:hyperlink>
    </w:p>
    <w:p w14:paraId="087679B3" w14:textId="77777777" w:rsidR="00C15E05" w:rsidRDefault="00000000">
      <w:pPr>
        <w:spacing w:after="240"/>
      </w:pPr>
      <w:r>
        <w:t>Comparativa de 41 clasificadores sobre ocho datasets de credit scoring. Es la referencia habitual para justificar que la regresión logística es el modelo de referencia habitual en la industria y que los ensembles de árboles la superan en predicción, que es el punto de partida del TFG.</w:t>
      </w:r>
    </w:p>
    <w:p w14:paraId="44277150" w14:textId="77777777" w:rsidR="00C15E05" w:rsidRPr="00E672BD" w:rsidRDefault="00000000">
      <w:pPr>
        <w:spacing w:after="40"/>
        <w:rPr>
          <w:lang w:val="en-US"/>
        </w:rPr>
      </w:pPr>
      <w:r w:rsidRPr="00E672BD">
        <w:rPr>
          <w:lang w:val="en-US"/>
        </w:rPr>
        <w:t xml:space="preserve">7. Mothilal, R. K., Sharma, A., &amp; Tan, C. (2020). Explaining machine learning classifiers through diverse counterfactual explanations. En </w:t>
      </w:r>
      <w:r w:rsidRPr="00E672BD">
        <w:rPr>
          <w:i/>
          <w:iCs/>
          <w:lang w:val="en-US"/>
        </w:rPr>
        <w:t>Proceedings of the 2020 Conference on Fairness, Accountability, and Transparency</w:t>
      </w:r>
      <w:r w:rsidRPr="00E672BD">
        <w:rPr>
          <w:lang w:val="en-US"/>
        </w:rPr>
        <w:t xml:space="preserve"> (pp. 607–617).</w:t>
      </w:r>
    </w:p>
    <w:p w14:paraId="3832E720" w14:textId="77777777" w:rsidR="00C15E05" w:rsidRDefault="00000000">
      <w:pPr>
        <w:spacing w:after="60"/>
      </w:pPr>
      <w:r>
        <w:fldChar w:fldCharType="begin"/>
      </w:r>
      <w:r>
        <w:instrText>HYPERLINK "https://doi.org/10.1145/3351095.3372850"</w:instrText>
      </w:r>
      <w:r>
        <w:fldChar w:fldCharType="separate"/>
      </w:r>
      <w:r>
        <w:rPr>
          <w:rStyle w:val="Hipervnculo"/>
        </w:rPr>
        <w:t>https://doi.org/10.1145/3351095.3372850</w:t>
      </w:r>
      <w:r>
        <w:fldChar w:fldCharType="end"/>
      </w:r>
    </w:p>
    <w:p w14:paraId="13D98108" w14:textId="77777777" w:rsidR="00C15E05" w:rsidRDefault="00000000">
      <w:pPr>
        <w:spacing w:after="240"/>
      </w:pPr>
      <w:r>
        <w:t>Propone DiCE, explicaciones contrafactuales: en vez de decir qué variables pesaron en la decisión, dice qué tendría que cambiar para que la decisión fuera otra. Lo prueban sobre German Credit y Lending Club. Fuera de alcance; se cita en el estado del arte como familia alternativa a SHAP.</w:t>
      </w:r>
    </w:p>
    <w:p w14:paraId="1A37D18C" w14:textId="77777777" w:rsidR="00C15E05" w:rsidRDefault="00000000">
      <w:pPr>
        <w:spacing w:after="40"/>
      </w:pPr>
      <w:r w:rsidRPr="00E672BD">
        <w:rPr>
          <w:lang w:val="en-US"/>
        </w:rPr>
        <w:t xml:space="preserve">8. Aas, K., Jullum, M., &amp; Løland, A. (2021). Explaining individual predictions when the features are dependent: More accurate approximations to Shapley values. </w:t>
      </w:r>
      <w:r>
        <w:rPr>
          <w:i/>
          <w:iCs/>
        </w:rPr>
        <w:t>Artificial Intelligence, 298</w:t>
      </w:r>
      <w:r>
        <w:t>, 103502.</w:t>
      </w:r>
    </w:p>
    <w:p w14:paraId="6A6E9FD4" w14:textId="77777777" w:rsidR="00C15E05" w:rsidRDefault="00000000">
      <w:pPr>
        <w:spacing w:after="60"/>
      </w:pPr>
      <w:hyperlink r:id="rId17" w:history="1">
        <w:r>
          <w:rPr>
            <w:rStyle w:val="Hipervnculo"/>
          </w:rPr>
          <w:t>https://doi.org/10.1016/j.artint.2021.103502</w:t>
        </w:r>
      </w:hyperlink>
    </w:p>
    <w:p w14:paraId="30F67C28" w14:textId="77777777" w:rsidR="00C15E05" w:rsidRDefault="00000000">
      <w:pPr>
        <w:spacing w:after="240"/>
      </w:pPr>
      <w:r>
        <w:t>Muestra que los valores de Shapley calculados asumiendo independencia entre variables reparten la importancia de forma engañosa cuando hay correlación, y propone aproximaciones condicionales para KernelSHAP. Relevante porque en el dataset de Taiwán las seis BILL_AMT están fuertemente correlacionadas. En TreeSHAP las variantes equivalentes se denominan interventional y path-dependent, que es como las compara García-Céspedes et al. (2025).</w:t>
      </w:r>
    </w:p>
    <w:p w14:paraId="7B05D2D5" w14:textId="77777777" w:rsidR="00C15E05" w:rsidRDefault="00000000">
      <w:pPr>
        <w:spacing w:after="40"/>
      </w:pPr>
      <w:r w:rsidRPr="00E672BD">
        <w:rPr>
          <w:lang w:val="en-US"/>
        </w:rPr>
        <w:t xml:space="preserve">9. Rudin, C. (2019). Stop explaining black box machine learning models for high stakes decisions and use interpretable models instead. </w:t>
      </w:r>
      <w:r>
        <w:rPr>
          <w:i/>
          <w:iCs/>
        </w:rPr>
        <w:t>Nature Machine Intelligence, 1</w:t>
      </w:r>
      <w:r>
        <w:t>(5), 206–215.</w:t>
      </w:r>
    </w:p>
    <w:p w14:paraId="29764073" w14:textId="77777777" w:rsidR="00C15E05" w:rsidRDefault="00000000">
      <w:pPr>
        <w:spacing w:after="60"/>
      </w:pPr>
      <w:hyperlink r:id="rId18" w:history="1">
        <w:r>
          <w:rPr>
            <w:rStyle w:val="Hipervnculo"/>
          </w:rPr>
          <w:t>https://doi.org/10.1038/s42256-019-0048-x</w:t>
        </w:r>
      </w:hyperlink>
    </w:p>
    <w:p w14:paraId="3893340D" w14:textId="77777777" w:rsidR="00C15E05" w:rsidRDefault="00000000">
      <w:pPr>
        <w:spacing w:after="240"/>
      </w:pPr>
      <w:r>
        <w:t xml:space="preserve">Sostiene </w:t>
      </w:r>
      <w:proofErr w:type="gramStart"/>
      <w:r>
        <w:t>que</w:t>
      </w:r>
      <w:proofErr w:type="gramEnd"/>
      <w:r>
        <w:t xml:space="preserve"> en decisiones de alto riesgo, el crédito entre </w:t>
      </w:r>
      <w:proofErr w:type="gramStart"/>
      <w:r>
        <w:t>ellas,</w:t>
      </w:r>
      <w:proofErr w:type="gramEnd"/>
      <w:r>
        <w:t xml:space="preserve"> no debe recurrirse a explicaciones post-hoc de modelos opacos sino a modelos interpretables por construcción. Es la posición contraria a la premisa del TFG y el marco en el que se interpretarán los resultados sobre estabilidad.</w:t>
      </w:r>
    </w:p>
    <w:p w14:paraId="02409A03" w14:textId="77777777" w:rsidR="00C15E05" w:rsidRDefault="00000000">
      <w:pPr>
        <w:spacing w:after="160"/>
      </w:pPr>
      <w:r>
        <w:rPr>
          <w:b/>
          <w:bCs/>
        </w:rPr>
        <w:t>Trabajos previos sobre XAI y estabilidad en credit scoring</w:t>
      </w:r>
    </w:p>
    <w:p w14:paraId="03611CEA" w14:textId="77777777" w:rsidR="00C15E05" w:rsidRPr="00E672BD" w:rsidRDefault="00000000">
      <w:pPr>
        <w:spacing w:after="40"/>
        <w:rPr>
          <w:lang w:val="en-US"/>
        </w:rPr>
      </w:pPr>
      <w:r w:rsidRPr="00E672BD">
        <w:rPr>
          <w:lang w:val="en-US"/>
        </w:rPr>
        <w:t xml:space="preserve">10. Bussmann, N., Giudici, P., Marinelli, D., &amp; Papenbrock, J. (2021). Explainable machine learning in credit risk management. </w:t>
      </w:r>
      <w:r w:rsidRPr="00E672BD">
        <w:rPr>
          <w:i/>
          <w:iCs/>
          <w:lang w:val="en-US"/>
        </w:rPr>
        <w:t>Computational Economics, 57</w:t>
      </w:r>
      <w:r w:rsidRPr="00E672BD">
        <w:rPr>
          <w:lang w:val="en-US"/>
        </w:rPr>
        <w:t>(1), 203–216.</w:t>
      </w:r>
    </w:p>
    <w:p w14:paraId="3F9EFCD9" w14:textId="77777777" w:rsidR="00C15E05" w:rsidRPr="00E672BD" w:rsidRDefault="00000000">
      <w:pPr>
        <w:spacing w:after="60"/>
        <w:rPr>
          <w:lang w:val="en-US"/>
        </w:rPr>
      </w:pPr>
      <w:r>
        <w:fldChar w:fldCharType="begin"/>
      </w:r>
      <w:r w:rsidRPr="00E672BD">
        <w:rPr>
          <w:lang w:val="en-US"/>
        </w:rPr>
        <w:instrText>HYPERLINK "https://doi.org/10.1007/s10614-020-10042-0"</w:instrText>
      </w:r>
      <w:r>
        <w:fldChar w:fldCharType="separate"/>
      </w:r>
      <w:r w:rsidRPr="00E672BD">
        <w:rPr>
          <w:rStyle w:val="Hipervnculo"/>
          <w:lang w:val="en-US"/>
        </w:rPr>
        <w:t>https://doi.org/10.1007/s10614-020-10042-0</w:t>
      </w:r>
      <w:r>
        <w:fldChar w:fldCharType="end"/>
      </w:r>
    </w:p>
    <w:p w14:paraId="5156F85F" w14:textId="77777777" w:rsidR="00C15E05" w:rsidRDefault="00000000">
      <w:pPr>
        <w:spacing w:after="240"/>
      </w:pPr>
      <w:r>
        <w:t>Aplica XGBoost con valores de Shapley al scoring de pymes y agrupa a los prestatarios según lo parecidas que son sus explicaciones. Es una referencia útil para ver cómo se usan las explicaciones SHAP para analizar y agrupar prestatarios en riesgo de crédito.</w:t>
      </w:r>
    </w:p>
    <w:p w14:paraId="1083467B" w14:textId="77777777" w:rsidR="00C15E05" w:rsidRPr="00E672BD" w:rsidRDefault="00000000">
      <w:pPr>
        <w:spacing w:after="40"/>
        <w:rPr>
          <w:lang w:val="en-US"/>
        </w:rPr>
      </w:pPr>
      <w:r w:rsidRPr="00E672BD">
        <w:rPr>
          <w:lang w:val="en-US"/>
        </w:rPr>
        <w:t xml:space="preserve">11. Hadji Misheva, B., Osterrieder, J., Hirsa, A., Kulkarni, O., &amp; Lin, S. F. (2021). Explainable AI in credit risk management. </w:t>
      </w:r>
      <w:r w:rsidRPr="00E672BD">
        <w:rPr>
          <w:i/>
          <w:iCs/>
          <w:lang w:val="en-US"/>
        </w:rPr>
        <w:t>arXiv</w:t>
      </w:r>
      <w:r w:rsidRPr="00E672BD">
        <w:rPr>
          <w:lang w:val="en-US"/>
        </w:rPr>
        <w:t>:2103.00949.</w:t>
      </w:r>
    </w:p>
    <w:p w14:paraId="17339ABA" w14:textId="77777777" w:rsidR="00C15E05" w:rsidRPr="00E672BD" w:rsidRDefault="00000000">
      <w:pPr>
        <w:spacing w:after="60"/>
        <w:rPr>
          <w:lang w:val="en-US"/>
        </w:rPr>
      </w:pPr>
      <w:r>
        <w:fldChar w:fldCharType="begin"/>
      </w:r>
      <w:r w:rsidRPr="00E672BD">
        <w:rPr>
          <w:lang w:val="en-US"/>
        </w:rPr>
        <w:instrText>HYPERLINK "https://arxiv.org/abs/2103.00949"</w:instrText>
      </w:r>
      <w:r>
        <w:fldChar w:fldCharType="separate"/>
      </w:r>
      <w:r w:rsidRPr="00E672BD">
        <w:rPr>
          <w:rStyle w:val="Hipervnculo"/>
          <w:lang w:val="en-US"/>
        </w:rPr>
        <w:t>https://arxiv.org/abs/2103.00949</w:t>
      </w:r>
      <w:r>
        <w:fldChar w:fldCharType="end"/>
      </w:r>
    </w:p>
    <w:p w14:paraId="31C39455" w14:textId="77777777" w:rsidR="00C15E05" w:rsidRDefault="00000000">
      <w:pPr>
        <w:spacing w:after="240"/>
      </w:pPr>
      <w:r>
        <w:lastRenderedPageBreak/>
        <w:t>Aplica LIME y SHAP a modelos de riesgo de crédito y discute cómo presentar explicaciones locales y globales en un contexto financiero. Útil como ejemplo de aplicación y de presentación de resultados.</w:t>
      </w:r>
    </w:p>
    <w:p w14:paraId="371E54A6" w14:textId="77777777" w:rsidR="00C15E05" w:rsidRPr="00E672BD" w:rsidRDefault="00000000">
      <w:pPr>
        <w:spacing w:after="40"/>
        <w:rPr>
          <w:lang w:val="en-US"/>
        </w:rPr>
      </w:pPr>
      <w:r w:rsidRPr="00E672BD">
        <w:rPr>
          <w:lang w:val="en-US"/>
        </w:rPr>
        <w:t xml:space="preserve">12. de Lange, P. E., Melsom, B., Vennerød, C. B., &amp; Westgaard, S. (2022). Explainable AI for credit assessment in banks. </w:t>
      </w:r>
      <w:r w:rsidRPr="00E672BD">
        <w:rPr>
          <w:i/>
          <w:iCs/>
          <w:lang w:val="en-US"/>
        </w:rPr>
        <w:t>Journal of Risk and Financial Management, 15</w:t>
      </w:r>
      <w:r w:rsidRPr="00E672BD">
        <w:rPr>
          <w:lang w:val="en-US"/>
        </w:rPr>
        <w:t>(12), 556.</w:t>
      </w:r>
    </w:p>
    <w:p w14:paraId="21A240FE" w14:textId="77777777" w:rsidR="00C15E05" w:rsidRDefault="00000000">
      <w:pPr>
        <w:spacing w:after="60"/>
      </w:pPr>
      <w:r>
        <w:fldChar w:fldCharType="begin"/>
      </w:r>
      <w:r>
        <w:instrText>HYPERLINK "https://doi.org/10.3390/jrfm15120556"</w:instrText>
      </w:r>
      <w:r>
        <w:fldChar w:fldCharType="separate"/>
      </w:r>
      <w:r>
        <w:rPr>
          <w:rStyle w:val="Hipervnculo"/>
        </w:rPr>
        <w:t>https://doi.org/10.3390/jrfm15120556</w:t>
      </w:r>
      <w:r>
        <w:fldChar w:fldCharType="end"/>
      </w:r>
    </w:p>
    <w:p w14:paraId="68A41E32" w14:textId="77777777" w:rsidR="00C15E05" w:rsidRDefault="00000000">
      <w:pPr>
        <w:spacing w:after="240"/>
      </w:pPr>
      <w:r>
        <w:t>Compara LightGBM explicado con SHAP frente al modelo de regresión logística que un banco noruego usaba como referencia para préstamos al consumo (un modelo con pocas variables discretizadas y detalles confidenciales). La estructura se parece a la del TFG (modelo clásico frente a modelo de árboles con SHAP), aunque con datos propietarios y una logística mucho más particular.</w:t>
      </w:r>
    </w:p>
    <w:p w14:paraId="7B2760C4" w14:textId="77777777" w:rsidR="00C15E05" w:rsidRPr="00E672BD" w:rsidRDefault="00000000">
      <w:pPr>
        <w:spacing w:after="40"/>
        <w:rPr>
          <w:lang w:val="en-US"/>
        </w:rPr>
      </w:pPr>
      <w:r>
        <w:t xml:space="preserve">13. Demajo, L. M., Vella, V., &amp; Dingli, A. (2020). </w:t>
      </w:r>
      <w:r w:rsidRPr="00E672BD">
        <w:rPr>
          <w:lang w:val="en-US"/>
        </w:rPr>
        <w:t xml:space="preserve">Explainable AI for interpretable credit scoring. </w:t>
      </w:r>
      <w:r w:rsidRPr="00E672BD">
        <w:rPr>
          <w:i/>
          <w:iCs/>
          <w:lang w:val="en-US"/>
        </w:rPr>
        <w:t>arXiv</w:t>
      </w:r>
      <w:r w:rsidRPr="00E672BD">
        <w:rPr>
          <w:lang w:val="en-US"/>
        </w:rPr>
        <w:t>:2012.03749.</w:t>
      </w:r>
    </w:p>
    <w:p w14:paraId="30B84207" w14:textId="77777777" w:rsidR="00C15E05" w:rsidRDefault="00000000">
      <w:pPr>
        <w:spacing w:after="60"/>
      </w:pPr>
      <w:r>
        <w:fldChar w:fldCharType="begin"/>
      </w:r>
      <w:r>
        <w:instrText>HYPERLINK "https://arxiv.org/abs/2012.03749"</w:instrText>
      </w:r>
      <w:r>
        <w:fldChar w:fldCharType="separate"/>
      </w:r>
      <w:r>
        <w:rPr>
          <w:rStyle w:val="Hipervnculo"/>
        </w:rPr>
        <w:t>https://arxiv.org/abs/2012.03749</w:t>
      </w:r>
      <w:r>
        <w:fldChar w:fldCharType="end"/>
      </w:r>
    </w:p>
    <w:p w14:paraId="27C9E614" w14:textId="77777777" w:rsidR="00C15E05" w:rsidRDefault="00000000">
      <w:pPr>
        <w:spacing w:after="240"/>
      </w:pPr>
      <w:r>
        <w:t>Entrena XGBoost sobre datasets públicos de credit scoring (HELOC y Lending Club) y propone un marco de explicación que combina explicaciones globales, locales por variable y locales por instancia, con SHAP entre otras técnicas, evaluado con usuarios. Coincide en el modelo y en uno de los datasets candidatos.</w:t>
      </w:r>
    </w:p>
    <w:p w14:paraId="078C5773" w14:textId="77777777" w:rsidR="00C15E05" w:rsidRPr="00E672BD" w:rsidRDefault="00000000">
      <w:pPr>
        <w:spacing w:after="40"/>
        <w:rPr>
          <w:lang w:val="en-US"/>
        </w:rPr>
      </w:pPr>
      <w:r w:rsidRPr="00E672BD">
        <w:rPr>
          <w:lang w:val="en-US"/>
        </w:rPr>
        <w:t xml:space="preserve">14. Chen, Y., Calabrese, R., &amp; Martin-Barragan, B. (2024). Interpretable machine learning for imbalanced credit scoring datasets. </w:t>
      </w:r>
      <w:r w:rsidRPr="00E672BD">
        <w:rPr>
          <w:i/>
          <w:iCs/>
          <w:lang w:val="en-US"/>
        </w:rPr>
        <w:t>European Journal of Operational Research, 312</w:t>
      </w:r>
      <w:r w:rsidRPr="00E672BD">
        <w:rPr>
          <w:lang w:val="en-US"/>
        </w:rPr>
        <w:t>(1), 357–372.</w:t>
      </w:r>
    </w:p>
    <w:p w14:paraId="2E038383" w14:textId="77777777" w:rsidR="00C15E05" w:rsidRPr="00E672BD" w:rsidRDefault="00000000">
      <w:pPr>
        <w:spacing w:after="60"/>
        <w:rPr>
          <w:lang w:val="en-US"/>
        </w:rPr>
      </w:pPr>
      <w:r>
        <w:fldChar w:fldCharType="begin"/>
      </w:r>
      <w:r w:rsidRPr="00E672BD">
        <w:rPr>
          <w:lang w:val="en-US"/>
        </w:rPr>
        <w:instrText>HYPERLINK "https://doi.org/10.1016/j.ejor.2023.06.036"</w:instrText>
      </w:r>
      <w:r>
        <w:fldChar w:fldCharType="separate"/>
      </w:r>
      <w:r w:rsidRPr="00E672BD">
        <w:rPr>
          <w:rStyle w:val="Hipervnculo"/>
          <w:lang w:val="en-US"/>
        </w:rPr>
        <w:t>https://doi.org/10.1016/j.ejor.2023.06.036</w:t>
      </w:r>
      <w:r>
        <w:fldChar w:fldCharType="end"/>
      </w:r>
    </w:p>
    <w:p w14:paraId="57D8FCEC" w14:textId="77777777" w:rsidR="00C15E05" w:rsidRDefault="00000000">
      <w:pPr>
        <w:spacing w:after="240"/>
      </w:pPr>
      <w:r>
        <w:t>Estudia cómo el desequilibrio de clases afecta a la estabilidad de LIME y SHAP, con datos hipotecarios del Reino Unido y dos datasets públicos. Importante porque todos los datasets candidatos están desequilibrados y porque define un marco experimental y varias medidas de estabilidad: el SRA sobre los rankings de importancia y el coeficiente de variación sobre los valores de importancia.</w:t>
      </w:r>
    </w:p>
    <w:p w14:paraId="3A6BDCC0" w14:textId="77777777" w:rsidR="00C15E05" w:rsidRPr="00E672BD" w:rsidRDefault="00000000">
      <w:pPr>
        <w:spacing w:after="40"/>
        <w:rPr>
          <w:lang w:val="en-US"/>
        </w:rPr>
      </w:pPr>
      <w:r w:rsidRPr="00E672BD">
        <w:rPr>
          <w:lang w:val="en-US"/>
        </w:rPr>
        <w:t xml:space="preserve">15. Ballegeer, M., Bogaert, M., &amp; Benoit, D. F. (2025). Evaluating the stability of model explanations in instance-dependent cost-sensitive credit scoring. </w:t>
      </w:r>
      <w:r w:rsidRPr="00E672BD">
        <w:rPr>
          <w:i/>
          <w:iCs/>
          <w:lang w:val="en-US"/>
        </w:rPr>
        <w:t>European Journal of Operational Research, 326</w:t>
      </w:r>
      <w:r w:rsidRPr="00E672BD">
        <w:rPr>
          <w:lang w:val="en-US"/>
        </w:rPr>
        <w:t>(3), 630–640. Acceso abierto: arXiv:2509.01409.</w:t>
      </w:r>
    </w:p>
    <w:p w14:paraId="5700849F" w14:textId="77777777" w:rsidR="00C15E05" w:rsidRPr="00E672BD" w:rsidRDefault="00000000">
      <w:pPr>
        <w:spacing w:after="60"/>
        <w:rPr>
          <w:lang w:val="en-US"/>
        </w:rPr>
      </w:pPr>
      <w:r>
        <w:fldChar w:fldCharType="begin"/>
      </w:r>
      <w:r w:rsidRPr="00E672BD">
        <w:rPr>
          <w:lang w:val="en-US"/>
        </w:rPr>
        <w:instrText>HYPERLINK "https://doi.org/10.1016/j.ejor.2025.05.039"</w:instrText>
      </w:r>
      <w:r>
        <w:fldChar w:fldCharType="separate"/>
      </w:r>
      <w:r w:rsidRPr="00E672BD">
        <w:rPr>
          <w:rStyle w:val="Hipervnculo"/>
          <w:lang w:val="en-US"/>
        </w:rPr>
        <w:t>https://doi.org/10.1016/j.ejor.2025.05.039</w:t>
      </w:r>
      <w:r>
        <w:fldChar w:fldCharType="end"/>
      </w:r>
    </w:p>
    <w:p w14:paraId="49EC9D8E" w14:textId="77777777" w:rsidR="00C15E05" w:rsidRDefault="00000000">
      <w:pPr>
        <w:spacing w:after="240"/>
      </w:pPr>
      <w:r>
        <w:t xml:space="preserve">Mide la estabilidad de SHAP y LIME en cuatro datasets públicos de credit scoring (Give Me Some Credit, VUB, HMEQ y South German Credit), comparando XGBoost, regresión logística, random forest y redes neuronales con sus versiones sensibles al coste por instancia. Sigue el diseño de Chen et al. (2024): para cada tasa de impago entre el 1 % y el 30 %, 25 remuestreos del conjunto de entrenamiento a tamaño fijo, reentrenamiento y cálculo de SHAP y LIME sobre instancias </w:t>
      </w:r>
      <w:proofErr w:type="gramStart"/>
      <w:r>
        <w:t>de test</w:t>
      </w:r>
      <w:proofErr w:type="gramEnd"/>
      <w:r>
        <w:t>, con el coeficiente de variación y el SRA calculados por instancia. Encuentra que los modelos sensibles al coste dan explicaciones bastante menos estables, sobre todo cuando crece el desequilibrio. Es, por tanto, estabilidad ante reentrenamiento, también local, y junto con Chen et al. (2024) y Lin y Wang (2025) cubre buena parte del terreno.</w:t>
      </w:r>
    </w:p>
    <w:p w14:paraId="1565299B" w14:textId="77777777" w:rsidR="00C15E05" w:rsidRDefault="00000000">
      <w:pPr>
        <w:spacing w:after="40"/>
      </w:pPr>
      <w:r w:rsidRPr="00E672BD">
        <w:rPr>
          <w:lang w:val="en-US"/>
        </w:rPr>
        <w:t xml:space="preserve">16. Lin, L., &amp; Wang, Y. (2025). SHAP stability in credit risk management: A case study in credit card default model. </w:t>
      </w:r>
      <w:r>
        <w:rPr>
          <w:i/>
          <w:iCs/>
        </w:rPr>
        <w:t>Risks, 13</w:t>
      </w:r>
      <w:r>
        <w:t>(12), 238. Acceso abierto: arXiv:2508.01851.</w:t>
      </w:r>
    </w:p>
    <w:p w14:paraId="64F9CAB1" w14:textId="77777777" w:rsidR="00C15E05" w:rsidRDefault="00000000">
      <w:pPr>
        <w:spacing w:after="60"/>
      </w:pPr>
      <w:hyperlink r:id="rId19" w:history="1">
        <w:r>
          <w:rPr>
            <w:rStyle w:val="Hipervnculo"/>
          </w:rPr>
          <w:t>https://doi.org/10.3390/risks13120238</w:t>
        </w:r>
      </w:hyperlink>
    </w:p>
    <w:p w14:paraId="5DE1C8A8" w14:textId="77777777" w:rsidR="00C15E05" w:rsidRDefault="00000000">
      <w:pPr>
        <w:spacing w:after="240"/>
      </w:pPr>
      <w:r>
        <w:t xml:space="preserve">Entrena 100 modelos XGBoost con distintas semillas sobre el dataset de Taiwán y mide con el W de Kendall lo estable que es el ranking de importancia de SHAP. La estabilidad va ligada al nivel de importancia: W = 0,93 para las cinco variables más importantes y W = 0,34 para seis de importancia intermedia; las variables dominantes y las de importancia insignificante mantienen su orden, y las intermedias concentran la inestabilidad. Aplican one-hot a todas las categóricas, incluidas PAY_1 a </w:t>
      </w:r>
      <w:r>
        <w:lastRenderedPageBreak/>
        <w:t>PAY_6, con lo que trabajan con 79 variables, y las inestables son dummies de códigos de pago concretos, una de las cuales oscila entre los puestos 15 y 61, lo que conecta con la decisión de codificar PAY_* como ordinales en este trabajo. Se puede replicar directamente con uno de los datasets candidatos y su metodología sirve de base para el análisis de estabilidad.</w:t>
      </w:r>
    </w:p>
    <w:p w14:paraId="39DBC580" w14:textId="77777777" w:rsidR="00C15E05" w:rsidRDefault="00000000">
      <w:pPr>
        <w:spacing w:after="40"/>
      </w:pPr>
      <w:r>
        <w:t xml:space="preserve">17. García-Céspedes, R., Alias-Carrascosa, F. J., &amp; Moreno, M. (2025). </w:t>
      </w:r>
      <w:r w:rsidRPr="00E672BD">
        <w:rPr>
          <w:lang w:val="en-US"/>
        </w:rPr>
        <w:t xml:space="preserve">On machine learning models explainability in the banking sector: The case of SHAP. </w:t>
      </w:r>
      <w:r>
        <w:rPr>
          <w:i/>
          <w:iCs/>
        </w:rPr>
        <w:t>Journal of the Operational Research Society, 76</w:t>
      </w:r>
      <w:r>
        <w:t>(12), 2591–2603.</w:t>
      </w:r>
    </w:p>
    <w:p w14:paraId="3F348BA1" w14:textId="77777777" w:rsidR="00C15E05" w:rsidRDefault="00000000">
      <w:pPr>
        <w:spacing w:after="60"/>
      </w:pPr>
      <w:hyperlink r:id="rId20" w:history="1">
        <w:r>
          <w:rPr>
            <w:rStyle w:val="Hipervnculo"/>
          </w:rPr>
          <w:t>https://doi.org/10.1080/01605682.2025.2485263</w:t>
        </w:r>
      </w:hyperlink>
    </w:p>
    <w:p w14:paraId="5DDD67F1" w14:textId="77777777" w:rsidR="00C15E05" w:rsidRDefault="00000000">
      <w:pPr>
        <w:spacing w:after="240"/>
      </w:pPr>
      <w:r>
        <w:t>Aplica SHAP a XGBoost sobre una base de datos real de riesgo de crédito (los autores son de BBVA y de la UCLM). Comprueba que las dos variantes de TreeSHAP (interventional y path-dependent) dan resultados casi iguales incluso con variables correlacionadas, pero muestra que SHAP no es invariante a la cartera: la explicación de un mismo cliente cambia según la distribución del conjunto de referencia (background) con el que se calcula, aunque el cliente no cambie. Es un problema de fiabilidad distinto de la estabilidad ante reentrenamientos y conviene tenerlo en cuenta en el diseño de los experimentos: fijar y documentar el conjunto de referencia y comprobar cuánto cambian las explicaciones al variarlo.</w:t>
      </w:r>
    </w:p>
    <w:p w14:paraId="11E97B32" w14:textId="77777777" w:rsidR="00C15E05" w:rsidRDefault="00000000">
      <w:pPr>
        <w:pStyle w:val="Ttulo1"/>
        <w:spacing w:before="320" w:after="160"/>
      </w:pPr>
      <w:r>
        <w:t>Propuesta de trabajo</w:t>
      </w:r>
    </w:p>
    <w:p w14:paraId="4527DD31" w14:textId="5559D0DA" w:rsidR="00C15E05" w:rsidRDefault="00000000">
      <w:pPr>
        <w:spacing w:after="120"/>
      </w:pPr>
      <w:r>
        <w:t xml:space="preserve">El punto de partida </w:t>
      </w:r>
      <w:r w:rsidR="00E672BD">
        <w:t>podría ser</w:t>
      </w:r>
      <w:r>
        <w:t xml:space="preserve"> el experimento de Lin y Wang (2025): entrenar muchos XGBoost con distintas semillas sobre el dataset de Taiwán y medir si el ranking global de importancia SHAP se mantiene. Ellos concluyen que la estabilidad va ligada al nivel de importancia: las variables dominantes y las de importancia insignificante mantienen su orden (W de Kendall = 0,93 para las cinco más importantes) y las intermedias no (W = 0,34 para seis de ellas). Pero su estudio deja varias cosas fuera. Solo miden estabilidad global, cuando la motivación que dan (explicar a un cliente concreto por qué se le deniega el crédito) es local. No comparan con ningún otro modelo. Solo cambian la semilla, con los mismos datos y el mismo split. No indican qué conjunto de referencia usan para calcular SHAP, que según García-Céspedes et al. (2025) cambia las explicaciones. Y ellos mismos piden en la conclusión que se repita con más datasets y más tipos de modelo.</w:t>
      </w:r>
    </w:p>
    <w:p w14:paraId="255D8B33" w14:textId="77777777" w:rsidR="00C15E05" w:rsidRDefault="00000000">
      <w:pPr>
        <w:spacing w:after="120"/>
      </w:pPr>
      <w:r>
        <w:t>Sobre el segundo hueco conviene ser preciso: estabilidad no implica corrección, y comparar con otro modelo tampoco la demuestra. Lo que aporta una regresión logística entrenada sobre los mismos datos es una línea base de estabilidad y una comprobación de validez convergente: donde ambos modelos coinciden hay indicio de señal real, y donde discrepan se localiza estructura no lineal o interacciones que la logística no puede representar, algo que puede contrastarse comparando modelos de capacidad creciente, como se detalla en el análisis 1.</w:t>
      </w:r>
    </w:p>
    <w:p w14:paraId="10B1FAAC" w14:textId="77777777" w:rsidR="00C15E05" w:rsidRDefault="00000000">
      <w:pPr>
        <w:spacing w:after="120"/>
      </w:pPr>
      <w:r>
        <w:t>El TFG parte de ahí y cubre esos huecos. Conviene precisar cuál es el diferencial, porque Chen et al. (2024) y Ballegeer et al. (2025) ya miden la estabilidad ante reentrenamiento, también por instancia: lo que distingue a este trabajo es el bootstrap a la tasa de impago nativa en lugar del remuestreo a tasas forzadas, la regresión logística como línea base explícita con la que se comparan las explicaciones, también cliente a cliente (Ballegeer et al. incluyen la logística entre los modelos cuya estabilidad miden, pero no comparan las explicaciones de un modelo con las del otro) y, sobre todo, la sensibilidad de las explicaciones al conjunto de referencia. Se entrenan dos modelos sobre los mismos datos y las mismas particiones: una regresión logística, que es interpretable por construcción y actúa como línea base, y un XGBoost, cuyas explicaciones se obtienen con TreeSHAP. Con eso se hacen cuatro análisis, de los que el 2 y el 3 son los pilares del trabajo:</w:t>
      </w:r>
    </w:p>
    <w:p w14:paraId="16EA557B" w14:textId="77777777" w:rsidR="00C15E05" w:rsidRDefault="00000000">
      <w:pPr>
        <w:spacing w:after="120"/>
      </w:pPr>
      <w:r>
        <w:t xml:space="preserve">1. Concordancia con la logística. Se compara lo que dice la regresión logística (coeficientes estandarizados, o SHAP calculado sobre la propia logística, que para un modelo lineal es exacto) con lo que dice SHAP sobre XGBoost: correlación entre rankings de importancia, solapamiento de las variables más importantes y signo del efecto de cada variable. Este análisis tiene menos peso que los </w:t>
      </w:r>
      <w:r>
        <w:lastRenderedPageBreak/>
        <w:t>análisis 2 y 3 y cumple dos funciones. La primera es de comprobación de la implementación: una concordancia casi nula entre rankings o signos invertidos en las variables dominantes indicarían un fallo en el montaje experimental, no un hallazgo sobre SHAP. La segunda es de diagnóstico dirigido por hipótesis: como XGBoost puede captar no linealidades e interacciones que la logística no representa, la discrepancia entre ambos es esperable en esas variables, y lo informativo es contrastar si se concentra donde se predice. Para clasificar cada variable sin recurrir al propio SHAP se plantea un modelo intermedio, un XGBoost aditivo (árboles de profundidad 1): la diferencia entre la logística y el aditivo aísla la no linealidad, y la del aditivo frente al XGBoost completo aísla las interacciones. La comparación se hace sobre la forma del efecto de cada variable: en el modelo aditivo cada variable tiene una curva de efecto bien definida (la suma de sus árboles de un solo corte), y su distancia respecto a la recta de la logística, ambas en escala log-odds, mide la no linealidad; la diferencia de predicción entre el aditivo y el XGBoost completo mide el peso de las interacciones. Ninguna de las dos medidas usa valores SHAP. Si la discrepancia se concentra en esas variables es atribuible a la estructura del problema; si aparece en variables de efecto lineal es un resultado que requiere explicación, y un candidato es la dependencia entre variables, que Aas et al. (2021) señalan como problemática para la atribución y que en Taiwán afecta a las seis BILL_AMT. Se mantiene además la concordancia local, cliente a cliente, que es un diferencial frente a Chen et al. (2024) y Ballegeer et al. (2025).</w:t>
      </w:r>
    </w:p>
    <w:p w14:paraId="36DDFD9E" w14:textId="77777777" w:rsidR="00C15E05" w:rsidRDefault="00000000">
      <w:pPr>
        <w:spacing w:after="120"/>
      </w:pPr>
      <w:r>
        <w:t xml:space="preserve">2. Estabilidad ante el entrenamiento. Se reentrena cada modelo varias decenas de veces cambiando la semilla y la submuestra de entrenamiento (bootstrap), y se guarda la explicación de un conjunto fijo de clientes </w:t>
      </w:r>
      <w:proofErr w:type="gramStart"/>
      <w:r>
        <w:t>de test</w:t>
      </w:r>
      <w:proofErr w:type="gramEnd"/>
      <w:r>
        <w:t>. Se mide la estabilidad global (Kendall W sobre los rankings, coeficiente de variación de las importancias, como en Lin y Wang y Chen et al.) y también la local, cliente a cliente (similitud entre los vectores SHAP de un mismo cliente en distintos reentrenamientos). Se hace lo mismo con la logística para saber si la línea base también es inestable con pocos datos. Variar solo la semilla no serviría para ella: con penalización L2 el problema es convexo, tiene un óptimo único y el solver es determinista, así que su estabilidad ante la semilla es trivial. La comparación informativa es la que cambia la muestra de entrenamiento.</w:t>
      </w:r>
    </w:p>
    <w:p w14:paraId="7D575722" w14:textId="77777777" w:rsidR="00C15E05" w:rsidRDefault="00000000">
      <w:pPr>
        <w:spacing w:after="120"/>
      </w:pPr>
      <w:r>
        <w:t>3. Estabilidad ante el conjunto de referencia. Con el mismo modelo y los mismos clientes, se calcula SHAP con distintos conjuntos de referencia (muestra aleatoria, solo buenos pagadores, solo malos, distinta tasa de impago, distinto tamaño) y se mide cuánto cambian las explicaciones locales y globales. Es la dimensión que señala García-Céspedes et al. con datos privados y que no nos consta que se haya medido en datasets públicos.</w:t>
      </w:r>
    </w:p>
    <w:p w14:paraId="1AB6B129" w14:textId="77777777" w:rsidR="00C15E05" w:rsidRDefault="00000000">
      <w:pPr>
        <w:spacing w:after="120"/>
      </w:pPr>
      <w:r>
        <w:t>4. Consistencia y coherencia. Se buscan pares de clientes casi idénticos y se comparan sus explicaciones, y se comprueba que la dirección de los efectos tiene sentido financiero (más retrasos, más riesgo) con gráficos de dependencia.</w:t>
      </w:r>
    </w:p>
    <w:p w14:paraId="6DB72478" w14:textId="77777777" w:rsidR="00C15E05" w:rsidRDefault="00000000">
      <w:pPr>
        <w:spacing w:after="120"/>
      </w:pPr>
      <w:r>
        <w:t>Se trabajará con el dataset de Taiwán como principal, porque permite reproducir primero los resultados de Lin y Wang como comprobación de la implementación, y con South German Credit como segundo dataset, para ver qué pasa con las mismas medidas cuando la muestra es pequeña. Los análisis 2 y 3 se repiten en los dos; el 1 y el 4 se hacen sobre el principal.</w:t>
      </w:r>
    </w:p>
    <w:p w14:paraId="25FF00BD" w14:textId="77777777" w:rsidR="00C15E05" w:rsidRDefault="00000000">
      <w:pPr>
        <w:spacing w:after="120"/>
      </w:pPr>
      <w:r>
        <w:t>El resultado que se busca no es decir si SHAP funciona o no, sino en qué condiciones sus explicaciones son estables y concordantes con las de un modelo lineal y en cuáles no: según el tamaño de la muestra, la importancia de la variable, la codificación de las categóricas y la elección del conjunto de referencia. Con eso se puede dar una recomendación práctica sobre cuándo es razonable usar una explicación SHAP para justificar una decisión de crédito.</w:t>
      </w:r>
    </w:p>
    <w:p w14:paraId="42CC10ED" w14:textId="77777777" w:rsidR="00C15E05" w:rsidRDefault="00000000">
      <w:pPr>
        <w:spacing w:after="120"/>
      </w:pPr>
      <w:r>
        <w:t>Queda por decidir con las tutoras si la comparación con la logística se hace con los coeficientes o con SHAP sobre ella, cuántas repeticiones son suficientes en el análisis 2, y si el análisis 3 se limita a variar la composición del conjunto de referencia o también su tamaño.</w:t>
      </w:r>
    </w:p>
    <w:sectPr w:rsidR="00C15E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EC1"/>
    <w:multiLevelType w:val="hybridMultilevel"/>
    <w:tmpl w:val="5802CCF4"/>
    <w:lvl w:ilvl="0" w:tplc="4E9E61A6">
      <w:start w:val="1"/>
      <w:numFmt w:val="bullet"/>
      <w:lvlText w:val="●"/>
      <w:lvlJc w:val="left"/>
      <w:pPr>
        <w:ind w:left="720" w:hanging="360"/>
      </w:pPr>
    </w:lvl>
    <w:lvl w:ilvl="1" w:tplc="901C0D3A">
      <w:start w:val="1"/>
      <w:numFmt w:val="bullet"/>
      <w:lvlText w:val="○"/>
      <w:lvlJc w:val="left"/>
      <w:pPr>
        <w:ind w:left="1440" w:hanging="360"/>
      </w:pPr>
    </w:lvl>
    <w:lvl w:ilvl="2" w:tplc="A7504FA2">
      <w:start w:val="1"/>
      <w:numFmt w:val="bullet"/>
      <w:lvlText w:val="■"/>
      <w:lvlJc w:val="left"/>
      <w:pPr>
        <w:ind w:left="2160" w:hanging="360"/>
      </w:pPr>
    </w:lvl>
    <w:lvl w:ilvl="3" w:tplc="5FF21DCA">
      <w:start w:val="1"/>
      <w:numFmt w:val="bullet"/>
      <w:lvlText w:val="●"/>
      <w:lvlJc w:val="left"/>
      <w:pPr>
        <w:ind w:left="2880" w:hanging="360"/>
      </w:pPr>
    </w:lvl>
    <w:lvl w:ilvl="4" w:tplc="4E3CA8D8">
      <w:start w:val="1"/>
      <w:numFmt w:val="bullet"/>
      <w:lvlText w:val="○"/>
      <w:lvlJc w:val="left"/>
      <w:pPr>
        <w:ind w:left="3600" w:hanging="360"/>
      </w:pPr>
    </w:lvl>
    <w:lvl w:ilvl="5" w:tplc="F478597E">
      <w:start w:val="1"/>
      <w:numFmt w:val="bullet"/>
      <w:lvlText w:val="■"/>
      <w:lvlJc w:val="left"/>
      <w:pPr>
        <w:ind w:left="4320" w:hanging="360"/>
      </w:pPr>
    </w:lvl>
    <w:lvl w:ilvl="6" w:tplc="AE0EDA04">
      <w:start w:val="1"/>
      <w:numFmt w:val="bullet"/>
      <w:lvlText w:val="●"/>
      <w:lvlJc w:val="left"/>
      <w:pPr>
        <w:ind w:left="5040" w:hanging="360"/>
      </w:pPr>
    </w:lvl>
    <w:lvl w:ilvl="7" w:tplc="85EE9D2E">
      <w:start w:val="1"/>
      <w:numFmt w:val="bullet"/>
      <w:lvlText w:val="●"/>
      <w:lvlJc w:val="left"/>
      <w:pPr>
        <w:ind w:left="5760" w:hanging="360"/>
      </w:pPr>
    </w:lvl>
    <w:lvl w:ilvl="8" w:tplc="57CA6B7E">
      <w:start w:val="1"/>
      <w:numFmt w:val="bullet"/>
      <w:lvlText w:val="●"/>
      <w:lvlJc w:val="left"/>
      <w:pPr>
        <w:ind w:left="6480" w:hanging="360"/>
      </w:pPr>
    </w:lvl>
  </w:abstractNum>
  <w:abstractNum w:abstractNumId="1" w15:restartNumberingAfterBreak="0">
    <w:nsid w:val="7C6621EC"/>
    <w:multiLevelType w:val="hybridMultilevel"/>
    <w:tmpl w:val="35E87A7C"/>
    <w:lvl w:ilvl="0" w:tplc="848C7554">
      <w:start w:val="1"/>
      <w:numFmt w:val="bullet"/>
      <w:lvlText w:val="•"/>
      <w:lvlJc w:val="left"/>
      <w:pPr>
        <w:ind w:left="540" w:hanging="270"/>
      </w:pPr>
    </w:lvl>
    <w:lvl w:ilvl="1" w:tplc="9ADC67DC">
      <w:numFmt w:val="decimal"/>
      <w:lvlText w:val=""/>
      <w:lvlJc w:val="left"/>
    </w:lvl>
    <w:lvl w:ilvl="2" w:tplc="C59A37BA">
      <w:numFmt w:val="decimal"/>
      <w:lvlText w:val=""/>
      <w:lvlJc w:val="left"/>
    </w:lvl>
    <w:lvl w:ilvl="3" w:tplc="23C0DF0C">
      <w:numFmt w:val="decimal"/>
      <w:lvlText w:val=""/>
      <w:lvlJc w:val="left"/>
    </w:lvl>
    <w:lvl w:ilvl="4" w:tplc="8ACAFFE8">
      <w:numFmt w:val="decimal"/>
      <w:lvlText w:val=""/>
      <w:lvlJc w:val="left"/>
    </w:lvl>
    <w:lvl w:ilvl="5" w:tplc="021C493E">
      <w:numFmt w:val="decimal"/>
      <w:lvlText w:val=""/>
      <w:lvlJc w:val="left"/>
    </w:lvl>
    <w:lvl w:ilvl="6" w:tplc="20C0D476">
      <w:numFmt w:val="decimal"/>
      <w:lvlText w:val=""/>
      <w:lvlJc w:val="left"/>
    </w:lvl>
    <w:lvl w:ilvl="7" w:tplc="50CE6094">
      <w:numFmt w:val="decimal"/>
      <w:lvlText w:val=""/>
      <w:lvlJc w:val="left"/>
    </w:lvl>
    <w:lvl w:ilvl="8" w:tplc="6A969B94">
      <w:numFmt w:val="decimal"/>
      <w:lvlText w:val=""/>
      <w:lvlJc w:val="left"/>
    </w:lvl>
  </w:abstractNum>
  <w:num w:numId="1" w16cid:durableId="1521969059">
    <w:abstractNumId w:val="0"/>
    <w:lvlOverride w:ilvl="0">
      <w:startOverride w:val="1"/>
    </w:lvlOverride>
  </w:num>
  <w:num w:numId="2" w16cid:durableId="379482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05"/>
    <w:rsid w:val="008363C4"/>
    <w:rsid w:val="00C15E05"/>
    <w:rsid w:val="00E672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27E8"/>
  <w15:docId w15:val="{B510C447-8178-425F-B60E-FEB1DCE42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30"/>
      <w:szCs w:val="30"/>
    </w:rPr>
  </w:style>
  <w:style w:type="paragraph" w:styleId="Ttulo2">
    <w:name w:val="heading 2"/>
    <w:uiPriority w:val="9"/>
    <w:unhideWhenUsed/>
    <w:qFormat/>
    <w:pPr>
      <w:outlineLvl w:val="1"/>
    </w:pPr>
    <w:rPr>
      <w:b/>
      <w:bCs/>
      <w:color w:val="2F549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uciml/default-of-credit-card-clients-dataset" TargetMode="External"/><Relationship Id="rId13" Type="http://schemas.openxmlformats.org/officeDocument/2006/relationships/hyperlink" Target="https://proceedings.neurips.cc/paper_files/paper/2017/hash/8a20a8621978632d76c43dfd28b67767-Abstract.html" TargetMode="External"/><Relationship Id="rId18" Type="http://schemas.openxmlformats.org/officeDocument/2006/relationships/hyperlink" Target="https://doi.org/10.1038/s42256-019-0048-x"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rchive.ics.uci.edu/dataset/350/default+of+credit+card+clients" TargetMode="External"/><Relationship Id="rId12" Type="http://schemas.openxmlformats.org/officeDocument/2006/relationships/hyperlink" Target="https://arxiv.org/abs/1602.04938" TargetMode="External"/><Relationship Id="rId17" Type="http://schemas.openxmlformats.org/officeDocument/2006/relationships/hyperlink" Target="https://doi.org/10.1016/j.artint.2021.103502" TargetMode="External"/><Relationship Id="rId2" Type="http://schemas.openxmlformats.org/officeDocument/2006/relationships/styles" Target="styles.xml"/><Relationship Id="rId16" Type="http://schemas.openxmlformats.org/officeDocument/2006/relationships/hyperlink" Target="https://doi.org/10.1016/j.ejor.2015.05.030" TargetMode="External"/><Relationship Id="rId20" Type="http://schemas.openxmlformats.org/officeDocument/2006/relationships/hyperlink" Target="https://doi.org/10.1080/01605682.2025.2485263" TargetMode="External"/><Relationship Id="rId1" Type="http://schemas.openxmlformats.org/officeDocument/2006/relationships/numbering" Target="numbering.xml"/><Relationship Id="rId6" Type="http://schemas.openxmlformats.org/officeDocument/2006/relationships/hyperlink" Target="https://archive.ics.uci.edu/dataset/573/south+german+credit" TargetMode="External"/><Relationship Id="rId11" Type="http://schemas.openxmlformats.org/officeDocument/2006/relationships/hyperlink" Target="https://doi.org/10.1109/ACCESS.2018.2870052" TargetMode="External"/><Relationship Id="rId5" Type="http://schemas.openxmlformats.org/officeDocument/2006/relationships/hyperlink" Target="https://www.kaggle.com/c/GiveMeSomeCredit" TargetMode="External"/><Relationship Id="rId15" Type="http://schemas.openxmlformats.org/officeDocument/2006/relationships/hyperlink" Target="https://doi.org/10.1145/2939672.2939785" TargetMode="External"/><Relationship Id="rId10" Type="http://schemas.openxmlformats.org/officeDocument/2006/relationships/hyperlink" Target="https://www.kaggle.com/datasets/wordsforthewise/lending-club" TargetMode="External"/><Relationship Id="rId19" Type="http://schemas.openxmlformats.org/officeDocument/2006/relationships/hyperlink" Target="https://doi.org/10.3390/risks13120238" TargetMode="External"/><Relationship Id="rId4" Type="http://schemas.openxmlformats.org/officeDocument/2006/relationships/webSettings" Target="webSettings.xml"/><Relationship Id="rId9" Type="http://schemas.openxmlformats.org/officeDocument/2006/relationships/hyperlink" Target="https://www.kaggle.com/c/home-credit-default-risk" TargetMode="External"/><Relationship Id="rId14" Type="http://schemas.openxmlformats.org/officeDocument/2006/relationships/hyperlink" Target="https://doi.org/10.1038/s42256-019-0138-9"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5806</Words>
  <Characters>31938</Characters>
  <Application>Microsoft Office Word</Application>
  <DocSecurity>0</DocSecurity>
  <Lines>266</Lines>
  <Paragraphs>75</Paragraphs>
  <ScaleCrop>false</ScaleCrop>
  <Company/>
  <LinksUpToDate>false</LinksUpToDate>
  <CharactersWithSpaces>37669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Álvaro Pérez</dc:creator>
  <cp:lastModifiedBy>Álvaro Pérez Rodríguez</cp:lastModifiedBy>
  <cp:revision>2</cp:revision>
  <dcterms:created xsi:type="dcterms:W3CDTF">2026-09-08T04:53:00Z</dcterms:created>
  <dcterms:modified xsi:type="dcterms:W3CDTF">2026-09-16T13:41:00Z</dcterms:modified>
</cp:coreProperties>
</file>