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C0EE" w14:textId="77777777" w:rsidR="002479D6" w:rsidRDefault="00000000">
      <w:pPr>
        <w:pStyle w:val="Ttulo1"/>
        <w:rPr>
          <w:lang w:val="es-ES"/>
        </w:rPr>
      </w:pPr>
      <w:r>
        <w:rPr>
          <w:lang w:val="es-ES"/>
        </w:rPr>
        <w:t>1. Introducción</w:t>
      </w:r>
    </w:p>
    <w:p w14:paraId="106F3A56" w14:textId="098327BA" w:rsidR="002479D6" w:rsidRDefault="00000000">
      <w:pPr>
        <w:rPr>
          <w:lang w:val="es-ES"/>
        </w:rPr>
      </w:pPr>
      <w:r>
        <w:rPr>
          <w:lang w:val="es-ES"/>
        </w:rPr>
        <w:t xml:space="preserve">Los modelos de aprendizaje automático que mejor predicen son también los más opacos. Se conocen sus parámetros, pero ninguna persona puede leer en ellos por qué han producido una salida concreta: por ejemplo, un ensemble de varios cientos de árboles no admite la lectura directa que sí admite una regresión lineal. Lo cual es de suma importancia cuando de su salida depende una decisión sobre una persona. De ahí la tensión entre capacidad predictiva e interpretabilidad, y de ahí que la explicabilidad de la inteligencia artificial (XAI) se haya consolidado como campo propio </w:t>
      </w:r>
      <w:hyperlink r:id="rId6">
        <w:r w:rsidR="002479D6">
          <w:rPr>
            <w:color w:val="0563C1"/>
            <w:u w:val="single"/>
            <w:lang w:val="es-ES"/>
          </w:rPr>
          <w:t>(</w:t>
        </w:r>
        <w:proofErr w:type="spellStart"/>
        <w:r w:rsidR="002479D6">
          <w:rPr>
            <w:color w:val="0563C1"/>
            <w:u w:val="single"/>
            <w:lang w:val="es-ES"/>
          </w:rPr>
          <w:t>Adadi</w:t>
        </w:r>
        <w:proofErr w:type="spellEnd"/>
        <w:r w:rsidR="002479D6">
          <w:rPr>
            <w:color w:val="0563C1"/>
            <w:u w:val="single"/>
            <w:lang w:val="es-ES"/>
          </w:rPr>
          <w:t xml:space="preserve"> y Berrada, 2018)</w:t>
        </w:r>
      </w:hyperlink>
      <w:r>
        <w:rPr>
          <w:lang w:val="es-ES"/>
        </w:rPr>
        <w:t>.</w:t>
      </w:r>
    </w:p>
    <w:p w14:paraId="161DC0D9" w14:textId="2FAE6D39" w:rsidR="002479D6" w:rsidRDefault="00000000">
      <w:pPr>
        <w:rPr>
          <w:lang w:val="es-ES"/>
        </w:rPr>
      </w:pPr>
      <w:r>
        <w:rPr>
          <w:lang w:val="es-ES"/>
        </w:rPr>
        <w:t xml:space="preserve">Ante esa tensión hay dos respuestas. La primera es renunciar a la caja negra y emplear modelos interpretables por construcción; </w:t>
      </w:r>
      <w:hyperlink r:id="rId7">
        <w:r w:rsidR="002479D6">
          <w:rPr>
            <w:color w:val="0563C1"/>
            <w:u w:val="single"/>
            <w:lang w:val="es-ES"/>
          </w:rPr>
          <w:t>Rudin (2019)</w:t>
        </w:r>
      </w:hyperlink>
      <w:r>
        <w:rPr>
          <w:lang w:val="es-ES"/>
        </w:rPr>
        <w:t xml:space="preserve"> sostiene que en decisiones de alto riesgo es la única opción defendible. La segunda, mayoritaria en la práctica, es conservar el modelo y explicarlo a posteriori, con métodos </w:t>
      </w:r>
      <w:r>
        <w:rPr>
          <w:i/>
          <w:lang w:val="es-ES"/>
        </w:rPr>
        <w:t>post-hoc</w:t>
      </w:r>
      <w:r>
        <w:rPr>
          <w:lang w:val="es-ES"/>
        </w:rPr>
        <w:t xml:space="preserve">, globales o locales según expliquen el modelo en conjunto o una predicción concreta. Dentro de ellos conviven dos familias: la atribución de importancia a las variables, con LIME </w:t>
      </w:r>
      <w:hyperlink r:id="rId8">
        <w:r w:rsidR="002479D6">
          <w:rPr>
            <w:color w:val="0563C1"/>
            <w:u w:val="single"/>
            <w:lang w:val="es-ES"/>
          </w:rPr>
          <w:t>(Ribeiro et al., 2016)</w:t>
        </w:r>
      </w:hyperlink>
      <w:r>
        <w:rPr>
          <w:lang w:val="es-ES"/>
        </w:rPr>
        <w:t xml:space="preserve"> y SHAP </w:t>
      </w:r>
      <w:hyperlink r:id="rId9">
        <w:r w:rsidR="002479D6">
          <w:rPr>
            <w:color w:val="0563C1"/>
            <w:u w:val="single"/>
            <w:lang w:val="es-ES"/>
          </w:rPr>
          <w:t>(Lundberg y Lee, 2017)</w:t>
        </w:r>
      </w:hyperlink>
      <w:r>
        <w:rPr>
          <w:lang w:val="es-ES"/>
        </w:rPr>
        <w:t xml:space="preserve">, hoy el estándar y los más usados, y las explicaciones contrafactuales </w:t>
      </w:r>
      <w:hyperlink r:id="rId10">
        <w:r w:rsidR="002479D6">
          <w:rPr>
            <w:color w:val="0563C1"/>
            <w:u w:val="single"/>
            <w:lang w:val="es-ES"/>
          </w:rPr>
          <w:t>(</w:t>
        </w:r>
        <w:proofErr w:type="spellStart"/>
        <w:r w:rsidR="002479D6">
          <w:rPr>
            <w:color w:val="0563C1"/>
            <w:u w:val="single"/>
            <w:lang w:val="es-ES"/>
          </w:rPr>
          <w:t>Mothilal</w:t>
        </w:r>
        <w:proofErr w:type="spellEnd"/>
        <w:r w:rsidR="002479D6">
          <w:rPr>
            <w:color w:val="0563C1"/>
            <w:u w:val="single"/>
            <w:lang w:val="es-ES"/>
          </w:rPr>
          <w:t xml:space="preserve"> et al., 2020)</w:t>
        </w:r>
      </w:hyperlink>
      <w:r>
        <w:rPr>
          <w:lang w:val="es-ES"/>
        </w:rPr>
        <w:t>.</w:t>
      </w:r>
    </w:p>
    <w:p w14:paraId="0E7C02E0" w14:textId="3FFF19CD" w:rsidR="002479D6" w:rsidRDefault="00000000">
      <w:pPr>
        <w:rPr>
          <w:lang w:val="es-ES"/>
        </w:rPr>
      </w:pPr>
      <w:r>
        <w:rPr>
          <w:lang w:val="es-ES"/>
        </w:rPr>
        <w:t xml:space="preserve">El punto débil de esa vía es que la explicación no forma parte del modelo: se calcula aparte y, como toda estimación, tiene varianza. Depende de la muestra de entrenamiento, de la semilla y, en el caso de SHAP, del conjunto de datos de referencia respecto al que se mide cada contribución. Si la explicación de un mismo caso cambia al reentrenar el modelo o al compararlo con otra población, deja de justificar la decisión. Hasta qué punto las explicaciones son estables y coherentes es </w:t>
      </w:r>
      <w:r w:rsidR="00BF4D63">
        <w:rPr>
          <w:lang w:val="es-ES"/>
        </w:rPr>
        <w:t>un posible</w:t>
      </w:r>
      <w:r>
        <w:rPr>
          <w:lang w:val="es-ES"/>
        </w:rPr>
        <w:t xml:space="preserve"> problema </w:t>
      </w:r>
      <w:r w:rsidR="00BF4D63">
        <w:rPr>
          <w:lang w:val="es-ES"/>
        </w:rPr>
        <w:t>a abordar en</w:t>
      </w:r>
      <w:r>
        <w:rPr>
          <w:lang w:val="es-ES"/>
        </w:rPr>
        <w:t xml:space="preserve"> este trabajo.</w:t>
      </w:r>
    </w:p>
    <w:p w14:paraId="46870E23" w14:textId="1E0CF1E7" w:rsidR="002479D6" w:rsidRDefault="00000000">
      <w:pPr>
        <w:rPr>
          <w:lang w:val="es-ES"/>
        </w:rPr>
      </w:pPr>
      <w:r>
        <w:rPr>
          <w:lang w:val="es-ES"/>
        </w:rPr>
        <w:t xml:space="preserve">Para estudiarlo hace falta un dominio concreto, y el credit scoring —estimar la probabilidad de impago de un solicitante para conceder o denegar el crédito— resulta especialmente adecuado. La regresión logística ha sido durante décadas el modelo habitual, elegida no por su rendimiento sino porque se puede leer entera, mientras que los ensembles de árboles la superan de forma sistemática </w:t>
      </w:r>
      <w:hyperlink r:id="rId11">
        <w:r w:rsidR="002479D6">
          <w:rPr>
            <w:color w:val="0563C1"/>
            <w:u w:val="single"/>
            <w:lang w:val="es-ES"/>
          </w:rPr>
          <w:t>(Lessmann et al., 2015)</w:t>
        </w:r>
      </w:hyperlink>
      <w:r>
        <w:rPr>
          <w:lang w:val="es-ES"/>
        </w:rPr>
        <w:t xml:space="preserve">. Además la explicación es aquí una obligación legal: la imponen el </w:t>
      </w:r>
      <w:hyperlink r:id="rId12">
        <w:r w:rsidR="002479D6">
          <w:rPr>
            <w:color w:val="0563C1"/>
            <w:u w:val="single"/>
            <w:lang w:val="es-ES"/>
          </w:rPr>
          <w:t>Reglamento General de Protección de Datos</w:t>
        </w:r>
      </w:hyperlink>
      <w:r>
        <w:rPr>
          <w:lang w:val="es-ES"/>
        </w:rPr>
        <w:t xml:space="preserve"> y la </w:t>
      </w:r>
      <w:hyperlink r:id="rId13">
        <w:r w:rsidR="002479D6">
          <w:rPr>
            <w:color w:val="0563C1"/>
            <w:u w:val="single"/>
            <w:lang w:val="es-ES"/>
          </w:rPr>
          <w:t>Directiva (UE) 2023/2225</w:t>
        </w:r>
      </w:hyperlink>
      <w:r>
        <w:rPr>
          <w:lang w:val="es-ES"/>
        </w:rPr>
        <w:t xml:space="preserve"> de crédito al consumo, y el </w:t>
      </w:r>
      <w:hyperlink r:id="rId14">
        <w:r w:rsidR="002479D6">
          <w:rPr>
            <w:color w:val="0563C1"/>
            <w:u w:val="single"/>
            <w:lang w:val="es-ES"/>
          </w:rPr>
          <w:t>Reglamento (UE) 2024/1689</w:t>
        </w:r>
      </w:hyperlink>
      <w:r>
        <w:rPr>
          <w:lang w:val="es-ES"/>
        </w:rPr>
        <w:t xml:space="preserve"> de inteligencia artificial clasifica la evaluación de solvencia como sistema de alto riesgo.</w:t>
      </w:r>
    </w:p>
    <w:p w14:paraId="7B620112" w14:textId="701092DA" w:rsidR="00BF4D63" w:rsidRPr="00D72C48" w:rsidRDefault="00000000" w:rsidP="00D72C48">
      <w:pPr>
        <w:rPr>
          <w:lang w:val="es-ES"/>
        </w:rPr>
      </w:pPr>
      <w:r>
        <w:rPr>
          <w:lang w:val="es-ES"/>
        </w:rPr>
        <w:t xml:space="preserve">Hay además indicios de inestabilidad ya documentados en este dominio: </w:t>
      </w:r>
      <w:hyperlink r:id="rId15">
        <w:r w:rsidR="002479D6">
          <w:rPr>
            <w:color w:val="0563C1"/>
            <w:u w:val="single"/>
            <w:lang w:val="es-ES"/>
          </w:rPr>
          <w:t>Lin y Wang (2025)</w:t>
        </w:r>
      </w:hyperlink>
      <w:r>
        <w:rPr>
          <w:lang w:val="es-ES"/>
        </w:rPr>
        <w:t xml:space="preserve"> miden sobre cien reentrenamientos de un XGBoost que el ranking de importancia SHAP solo se mantiene en las variables dominantes, y </w:t>
      </w:r>
      <w:hyperlink r:id="rId16">
        <w:r w:rsidR="002479D6">
          <w:rPr>
            <w:color w:val="0563C1"/>
            <w:u w:val="single"/>
            <w:lang w:val="es-ES"/>
          </w:rPr>
          <w:t>García-</w:t>
        </w:r>
        <w:proofErr w:type="spellStart"/>
        <w:r w:rsidR="002479D6">
          <w:rPr>
            <w:color w:val="0563C1"/>
            <w:u w:val="single"/>
            <w:lang w:val="es-ES"/>
          </w:rPr>
          <w:t>Céspedes</w:t>
        </w:r>
        <w:proofErr w:type="spellEnd"/>
        <w:r w:rsidR="002479D6">
          <w:rPr>
            <w:color w:val="0563C1"/>
            <w:u w:val="single"/>
            <w:lang w:val="es-ES"/>
          </w:rPr>
          <w:t xml:space="preserve"> et al. (2025)</w:t>
        </w:r>
      </w:hyperlink>
      <w:r>
        <w:rPr>
          <w:lang w:val="es-ES"/>
        </w:rPr>
        <w:t xml:space="preserve"> muestran que la explicación de un mismo cliente cambia con el conjunto de referencia aunque el cliente no cambie. De ahí se podría plantear una posible pregunta para este </w:t>
      </w:r>
      <w:r w:rsidRPr="00BF4D63">
        <w:rPr>
          <w:lang w:val="es-ES"/>
        </w:rPr>
        <w:t xml:space="preserve">TFG: en qué condiciones las explicaciones SHAP de un </w:t>
      </w:r>
      <w:proofErr w:type="spellStart"/>
      <w:r w:rsidRPr="00BF4D63">
        <w:rPr>
          <w:lang w:val="es-ES"/>
        </w:rPr>
        <w:t>XGBoost</w:t>
      </w:r>
      <w:proofErr w:type="spellEnd"/>
      <w:r w:rsidRPr="00BF4D63">
        <w:rPr>
          <w:lang w:val="es-ES"/>
        </w:rPr>
        <w:t xml:space="preserve"> son estables y coherentes, tomando como referencia una regresión logística entrenada sobre los mismos datos.</w:t>
      </w:r>
      <w:r w:rsidR="00BF4D63">
        <w:rPr>
          <w:lang w:val="es-ES"/>
        </w:rPr>
        <w:br w:type="page"/>
      </w:r>
    </w:p>
    <w:p w14:paraId="26BBF9BC" w14:textId="71A8FF96" w:rsidR="002479D6" w:rsidRDefault="00000000">
      <w:pPr>
        <w:pStyle w:val="Ttulo1"/>
        <w:rPr>
          <w:lang w:val="es-ES"/>
        </w:rPr>
      </w:pPr>
      <w:r>
        <w:rPr>
          <w:lang w:val="es-ES"/>
        </w:rPr>
        <w:lastRenderedPageBreak/>
        <w:t>2. Marco teórico</w:t>
      </w:r>
    </w:p>
    <w:p w14:paraId="14686F3A" w14:textId="6057F1D6" w:rsidR="002479D6" w:rsidRDefault="00000000">
      <w:pPr>
        <w:rPr>
          <w:lang w:val="es-ES"/>
        </w:rPr>
      </w:pPr>
      <w:r>
        <w:rPr>
          <w:lang w:val="es-ES"/>
        </w:rPr>
        <w:t xml:space="preserve">El trabajo se centraría en el enfoque </w:t>
      </w:r>
      <w:r>
        <w:rPr>
          <w:i/>
          <w:lang w:val="es-ES"/>
        </w:rPr>
        <w:t>post-hoc</w:t>
      </w:r>
      <w:r>
        <w:rPr>
          <w:lang w:val="es-ES"/>
        </w:rPr>
        <w:t xml:space="preserve"> y local, que es el que corresponde a</w:t>
      </w:r>
      <w:r w:rsidR="00457D2B">
        <w:rPr>
          <w:lang w:val="es-ES"/>
        </w:rPr>
        <w:t xml:space="preserve"> </w:t>
      </w:r>
      <w:r>
        <w:rPr>
          <w:lang w:val="es-ES"/>
        </w:rPr>
        <w:t>justificar una decisión concreta. Esta sección resume la posible base sobre la que se trabajaría y algunos conceptos que, aunque puede que no lleguen a trabajarse, es importante valorar al principio.</w:t>
      </w:r>
    </w:p>
    <w:p w14:paraId="057FB3F4" w14:textId="77777777" w:rsidR="002479D6" w:rsidRDefault="00000000">
      <w:pPr>
        <w:pStyle w:val="Ttulo2"/>
        <w:rPr>
          <w:lang w:val="es-ES"/>
        </w:rPr>
      </w:pPr>
      <w:r>
        <w:rPr>
          <w:lang w:val="es-ES"/>
        </w:rPr>
        <w:t>2.1. LIME</w:t>
      </w:r>
    </w:p>
    <w:p w14:paraId="0F274DBE" w14:textId="77777777" w:rsidR="002479D6" w:rsidRDefault="00000000">
      <w:pPr>
        <w:rPr>
          <w:lang w:val="es-ES"/>
        </w:rPr>
      </w:pPr>
      <w:r>
        <w:rPr>
          <w:lang w:val="es-ES"/>
        </w:rPr>
        <w:t xml:space="preserve">LIME </w:t>
      </w:r>
      <w:hyperlink r:id="rId17">
        <w:r w:rsidR="002479D6">
          <w:rPr>
            <w:color w:val="0563C1"/>
            <w:u w:val="single"/>
            <w:lang w:val="es-ES"/>
          </w:rPr>
          <w:t>(Ribeiro et al., 2016)</w:t>
        </w:r>
      </w:hyperlink>
      <w:r>
        <w:rPr>
          <w:lang w:val="es-ES"/>
        </w:rPr>
        <w:t xml:space="preserve"> aproxima el modelo en el entorno de una instancia por un modelo lineal: genera instancias perturbadas a su alrededor, las etiqueta con el modelo original, las pondera según su proximidad y ajusta sobre ellas una regresión lineal dispersa cuyos coeficientes son la explicación. Es agnóstico al modelo y barato, pero el vecindario es una elección arbitraria, las perturbaciones son aleatorias —dos ejecuciones sobre la misma instancia pueden dar explicaciones distintas— y las contribuciones no suman la predicción.</w:t>
      </w:r>
    </w:p>
    <w:p w14:paraId="71DE2B0B" w14:textId="77777777" w:rsidR="002479D6" w:rsidRDefault="00000000">
      <w:pPr>
        <w:pStyle w:val="Ttulo2"/>
        <w:rPr>
          <w:lang w:val="es-ES"/>
        </w:rPr>
      </w:pPr>
      <w:r>
        <w:rPr>
          <w:lang w:val="es-ES"/>
        </w:rPr>
        <w:t>2.2. SHAP</w:t>
      </w:r>
    </w:p>
    <w:p w14:paraId="73262799" w14:textId="77777777" w:rsidR="002479D6" w:rsidRDefault="00000000">
      <w:pPr>
        <w:rPr>
          <w:lang w:val="es-ES"/>
        </w:rPr>
      </w:pPr>
      <w:r>
        <w:rPr>
          <w:lang w:val="es-ES"/>
        </w:rPr>
        <w:t xml:space="preserve">SHAP </w:t>
      </w:r>
      <w:hyperlink r:id="rId18">
        <w:r w:rsidR="002479D6">
          <w:rPr>
            <w:color w:val="0563C1"/>
            <w:u w:val="single"/>
            <w:lang w:val="es-ES"/>
          </w:rPr>
          <w:t>(Lundberg y Lee, 2017)</w:t>
        </w:r>
      </w:hyperlink>
      <w:r>
        <w:rPr>
          <w:lang w:val="es-ES"/>
        </w:rPr>
        <w:t xml:space="preserve"> reparte una predicción entre las variables como si fuera un problema de teoría de juegos: los jugadores son las variables y la ganancia a repartir es la diferencia entre la predicción del caso y la predicción media del modelo. La contribución de la variable </w:t>
      </w:r>
      <w:r>
        <w:rPr>
          <w:i/>
          <w:lang w:val="es-ES"/>
        </w:rPr>
        <w:t>i</w:t>
      </w:r>
      <w:r>
        <w:rPr>
          <w:lang w:val="es-ES"/>
        </w:rPr>
        <w:t xml:space="preserve"> es su valor de Shapley, su aportación marginal promediada sobre todos los órdenes posibles de entrada de las variables. Es la única atribución aditiva que cumple a la vez precisión local (las contribuciones suman exactamente la predicción), ausencia (una variable no presente no recibe atribución) y consistencia (si una variable pesa más en el modelo, su atribución no baja).</w:t>
      </w:r>
    </w:p>
    <w:p w14:paraId="19CA1A49" w14:textId="77777777" w:rsidR="002479D6" w:rsidRDefault="00000000">
      <w:pPr>
        <w:pStyle w:val="Ttulo2"/>
        <w:rPr>
          <w:lang w:val="es-ES"/>
        </w:rPr>
      </w:pPr>
      <w:r>
        <w:rPr>
          <w:lang w:val="es-ES"/>
        </w:rPr>
        <w:t>2.3. TreeSHAP</w:t>
      </w:r>
    </w:p>
    <w:p w14:paraId="795F262D" w14:textId="77777777" w:rsidR="002479D6" w:rsidRDefault="00000000">
      <w:pPr>
        <w:rPr>
          <w:lang w:val="es-ES"/>
        </w:rPr>
      </w:pPr>
      <w:proofErr w:type="spellStart"/>
      <w:r>
        <w:rPr>
          <w:lang w:val="es-ES"/>
        </w:rPr>
        <w:t>TreeSHAP</w:t>
      </w:r>
      <w:proofErr w:type="spellEnd"/>
      <w:r>
        <w:rPr>
          <w:lang w:val="es-ES"/>
        </w:rPr>
        <w:t xml:space="preserve"> </w:t>
      </w:r>
      <w:hyperlink r:id="rId19">
        <w:r w:rsidR="002479D6">
          <w:rPr>
            <w:color w:val="0563C1"/>
            <w:u w:val="single"/>
            <w:lang w:val="es-ES"/>
          </w:rPr>
          <w:t>(Lundberg et al., 2020)</w:t>
        </w:r>
      </w:hyperlink>
      <w:r>
        <w:rPr>
          <w:lang w:val="es-ES"/>
        </w:rPr>
        <w:t xml:space="preserve"> resuelve ese coste en modelos de árboles: en lugar de enumerar las coaliciones, recorre el árbol propagando por cada rama la proporción de subconjuntos de variables que la seguirían, con lo que el cálculo es </w:t>
      </w:r>
      <w:r>
        <w:rPr>
          <w:i/>
          <w:lang w:val="es-ES"/>
        </w:rPr>
        <w:t>exacto</w:t>
      </w:r>
      <w:r>
        <w:rPr>
          <w:lang w:val="es-ES"/>
        </w:rPr>
        <w:t xml:space="preserve"> y en tiempo polinómico, O(T·L·D²) para T árboles con L hojas y profundidad D. Tiene dos variantes: </w:t>
      </w:r>
      <w:r>
        <w:rPr>
          <w:i/>
          <w:lang w:val="es-ES"/>
        </w:rPr>
        <w:t>path-dependent</w:t>
      </w:r>
      <w:r>
        <w:rPr>
          <w:lang w:val="es-ES"/>
        </w:rPr>
        <w:t xml:space="preserve">, que usa los pesos de cobertura guardados en el árbol y no necesita conjunto de referencia, e </w:t>
      </w:r>
      <w:r>
        <w:rPr>
          <w:i/>
          <w:lang w:val="es-ES"/>
        </w:rPr>
        <w:t>interventional</w:t>
      </w:r>
      <w:r>
        <w:rPr>
          <w:lang w:val="es-ES"/>
        </w:rPr>
        <w:t>, que promedia sobre uno explícito. Lo decisivo aquí es que, fijados el modelo y el conjunto de referencia, TreeSHAP es determinista: la variabilidad que se observe no procederá del estimador.</w:t>
      </w:r>
    </w:p>
    <w:p w14:paraId="52488D60" w14:textId="77777777" w:rsidR="002479D6" w:rsidRDefault="00000000">
      <w:pPr>
        <w:pStyle w:val="Ttulo2"/>
        <w:rPr>
          <w:lang w:val="es-ES"/>
        </w:rPr>
      </w:pPr>
      <w:r>
        <w:rPr>
          <w:lang w:val="es-ES"/>
        </w:rPr>
        <w:t>2.4. Explicaciones contrafactuales: DiCE</w:t>
      </w:r>
    </w:p>
    <w:p w14:paraId="44646D9F" w14:textId="2434294E" w:rsidR="002479D6" w:rsidRDefault="00000000">
      <w:pPr>
        <w:rPr>
          <w:lang w:val="es-ES"/>
        </w:rPr>
      </w:pPr>
      <w:r>
        <w:rPr>
          <w:lang w:val="es-ES"/>
        </w:rPr>
        <w:t xml:space="preserve">Las explicaciones contrafactuales responden a otra pregunta: no qué variables pesaron en la decisión, sino qué tendría que cambiar para que fuera la contraria. </w:t>
      </w:r>
      <w:proofErr w:type="spellStart"/>
      <w:r>
        <w:rPr>
          <w:lang w:val="es-ES"/>
        </w:rPr>
        <w:t>DiCE</w:t>
      </w:r>
      <w:proofErr w:type="spellEnd"/>
      <w:r>
        <w:rPr>
          <w:lang w:val="es-ES"/>
        </w:rPr>
        <w:t xml:space="preserve"> </w:t>
      </w:r>
      <w:hyperlink r:id="rId20">
        <w:r w:rsidR="002479D6">
          <w:rPr>
            <w:color w:val="0563C1"/>
            <w:u w:val="single"/>
            <w:lang w:val="es-ES"/>
          </w:rPr>
          <w:t>(</w:t>
        </w:r>
        <w:proofErr w:type="spellStart"/>
        <w:r w:rsidR="002479D6">
          <w:rPr>
            <w:color w:val="0563C1"/>
            <w:u w:val="single"/>
            <w:lang w:val="es-ES"/>
          </w:rPr>
          <w:t>Mothilal</w:t>
        </w:r>
        <w:proofErr w:type="spellEnd"/>
        <w:r w:rsidR="002479D6">
          <w:rPr>
            <w:color w:val="0563C1"/>
            <w:u w:val="single"/>
            <w:lang w:val="es-ES"/>
          </w:rPr>
          <w:t xml:space="preserve"> et al., 2020)</w:t>
        </w:r>
      </w:hyperlink>
      <w:r>
        <w:rPr>
          <w:lang w:val="es-ES"/>
        </w:rPr>
        <w:t xml:space="preserve"> genera, para un caso ya clasificado, varias instancias próximas a él que el modelo clasificaría al revés, buscando a la vez proximidad al caso original, diversidad entre las alternativas propuestas y viabilidad, esto es, respetar los rangos de cada variable y dejar fijas las que el solicitante no puede modificar.</w:t>
      </w:r>
    </w:p>
    <w:p w14:paraId="5BCE4D1E" w14:textId="77777777" w:rsidR="002479D6" w:rsidRDefault="00000000">
      <w:pPr>
        <w:pStyle w:val="Ttulo2"/>
        <w:rPr>
          <w:lang w:val="es-ES"/>
        </w:rPr>
      </w:pPr>
      <w:r>
        <w:rPr>
          <w:lang w:val="es-ES"/>
        </w:rPr>
        <w:lastRenderedPageBreak/>
        <w:t>2.5. XGBoost y la línea base</w:t>
      </w:r>
    </w:p>
    <w:p w14:paraId="1471685E" w14:textId="7718FA09" w:rsidR="002479D6" w:rsidRDefault="00000000">
      <w:pPr>
        <w:rPr>
          <w:lang w:val="es-ES"/>
        </w:rPr>
      </w:pPr>
      <w:proofErr w:type="spellStart"/>
      <w:r>
        <w:rPr>
          <w:lang w:val="es-ES"/>
        </w:rPr>
        <w:t>XGBoost</w:t>
      </w:r>
      <w:proofErr w:type="spellEnd"/>
      <w:r>
        <w:rPr>
          <w:lang w:val="es-ES"/>
        </w:rPr>
        <w:t xml:space="preserve"> </w:t>
      </w:r>
      <w:hyperlink r:id="rId21">
        <w:r w:rsidR="002479D6">
          <w:rPr>
            <w:color w:val="0563C1"/>
            <w:u w:val="single"/>
            <w:lang w:val="es-ES"/>
          </w:rPr>
          <w:t xml:space="preserve">(Chen y </w:t>
        </w:r>
        <w:proofErr w:type="spellStart"/>
        <w:r w:rsidR="002479D6">
          <w:rPr>
            <w:color w:val="0563C1"/>
            <w:u w:val="single"/>
            <w:lang w:val="es-ES"/>
          </w:rPr>
          <w:t>Guestrin</w:t>
        </w:r>
        <w:proofErr w:type="spellEnd"/>
        <w:r w:rsidR="002479D6">
          <w:rPr>
            <w:color w:val="0563C1"/>
            <w:u w:val="single"/>
            <w:lang w:val="es-ES"/>
          </w:rPr>
          <w:t>, 2016)</w:t>
        </w:r>
      </w:hyperlink>
      <w:r>
        <w:rPr>
          <w:lang w:val="es-ES"/>
        </w:rPr>
        <w:t xml:space="preserve"> es una implementación de gradient boosting con árboles: el modelo es una suma de árboles que se construye de forma aditiva, añadiendo en cada iteración el árbol que más reduce un objetivo que combina la pérdida con una penalización explícita de la complejidad del árbol.</w:t>
      </w:r>
    </w:p>
    <w:p w14:paraId="5DBDAA46" w14:textId="2706290F" w:rsidR="002479D6" w:rsidRDefault="00000000">
      <w:pPr>
        <w:rPr>
          <w:lang w:val="es-ES"/>
        </w:rPr>
      </w:pPr>
      <w:r>
        <w:rPr>
          <w:lang w:val="es-ES"/>
        </w:rPr>
        <w:t xml:space="preserve">Se propone para este trabajo por varias razones: es la familia que mejor rendimiento obtiene en </w:t>
      </w:r>
      <w:proofErr w:type="spellStart"/>
      <w:r>
        <w:rPr>
          <w:lang w:val="es-ES"/>
        </w:rPr>
        <w:t>credit</w:t>
      </w:r>
      <w:proofErr w:type="spellEnd"/>
      <w:r>
        <w:rPr>
          <w:lang w:val="es-ES"/>
        </w:rPr>
        <w:t xml:space="preserve"> </w:t>
      </w:r>
      <w:proofErr w:type="spellStart"/>
      <w:r>
        <w:rPr>
          <w:lang w:val="es-ES"/>
        </w:rPr>
        <w:t>scoring</w:t>
      </w:r>
      <w:proofErr w:type="spellEnd"/>
      <w:r>
        <w:rPr>
          <w:lang w:val="es-ES"/>
        </w:rPr>
        <w:t xml:space="preserve"> </w:t>
      </w:r>
      <w:hyperlink r:id="rId22">
        <w:r w:rsidR="002479D6">
          <w:rPr>
            <w:color w:val="0563C1"/>
            <w:u w:val="single"/>
            <w:lang w:val="es-ES"/>
          </w:rPr>
          <w:t>(Lessmann et al., 2015)</w:t>
        </w:r>
      </w:hyperlink>
      <w:r>
        <w:rPr>
          <w:lang w:val="es-ES"/>
        </w:rPr>
        <w:t xml:space="preserve">; encaja con los datos de crédito, porque capta no linealidades e interacciones y no necesita escalado ni imputación previa; es compatible de forma exacta con TreeSHAP, lo que hace viable recalcular las explicaciones de cientos de clientes en decenas de reentrenamientos; y permite contrastar con </w:t>
      </w:r>
      <w:hyperlink r:id="rId23">
        <w:r w:rsidR="002479D6">
          <w:rPr>
            <w:color w:val="0563C1"/>
            <w:u w:val="single"/>
            <w:lang w:val="es-ES"/>
          </w:rPr>
          <w:t>Lin y Wang (2025)</w:t>
        </w:r>
      </w:hyperlink>
      <w:r>
        <w:rPr>
          <w:lang w:val="es-ES"/>
        </w:rPr>
        <w:t xml:space="preserve">, que lo usan sobre </w:t>
      </w:r>
      <w:r w:rsidR="00DD0ACE">
        <w:rPr>
          <w:lang w:val="es-ES"/>
        </w:rPr>
        <w:t>uno de los conjuntos de datos que se proponen en este informe (el de Taiwán)</w:t>
      </w:r>
      <w:r>
        <w:rPr>
          <w:lang w:val="es-ES"/>
        </w:rPr>
        <w:t>. Además, su entrenamiento es estocástico, por el submuestreo de filas y de columnas, que es justamente una de las sensibilidades que el trabaj</w:t>
      </w:r>
      <w:r w:rsidR="00DD0ACE">
        <w:rPr>
          <w:lang w:val="es-ES"/>
        </w:rPr>
        <w:t>o podría medir</w:t>
      </w:r>
      <w:r>
        <w:rPr>
          <w:lang w:val="es-ES"/>
        </w:rPr>
        <w:t>.</w:t>
      </w:r>
    </w:p>
    <w:p w14:paraId="503A2E3F" w14:textId="3A8F96F8" w:rsidR="002479D6" w:rsidRDefault="00000000">
      <w:pPr>
        <w:rPr>
          <w:lang w:val="es-ES"/>
        </w:rPr>
      </w:pPr>
      <w:r>
        <w:rPr>
          <w:lang w:val="es-ES"/>
        </w:rPr>
        <w:t xml:space="preserve">Frente a </w:t>
      </w:r>
      <w:r w:rsidR="00DD0ACE">
        <w:rPr>
          <w:lang w:val="es-ES"/>
        </w:rPr>
        <w:t>este modelo se podría hacer</w:t>
      </w:r>
      <w:r>
        <w:rPr>
          <w:lang w:val="es-ES"/>
        </w:rPr>
        <w:t xml:space="preserve"> una regresión logística con penalización L2 sobre los mismos datos y las mismas particiones, como línea base y como referencia de estabilidad.</w:t>
      </w:r>
    </w:p>
    <w:p w14:paraId="630D1986" w14:textId="77777777" w:rsidR="002479D6" w:rsidRPr="00114E96" w:rsidRDefault="00000000">
      <w:pPr>
        <w:pStyle w:val="Ttulo1"/>
        <w:rPr>
          <w:lang w:val="es-ES"/>
        </w:rPr>
      </w:pPr>
      <w:r w:rsidRPr="00114E96">
        <w:rPr>
          <w:lang w:val="es-ES"/>
        </w:rPr>
        <w:t>3. Conjuntos de datos candidatos</w:t>
      </w:r>
    </w:p>
    <w:p w14:paraId="76645AB8" w14:textId="5A906360" w:rsidR="002479D6" w:rsidRPr="00114E96" w:rsidRDefault="00000000" w:rsidP="00EE000D">
      <w:pPr>
        <w:rPr>
          <w:lang w:val="es-ES"/>
        </w:rPr>
      </w:pPr>
      <w:r>
        <w:rPr>
          <w:lang w:val="es-ES"/>
        </w:rPr>
        <w:t>Se han descargado y analizado cinco conjuntos de datos públicos de credit scoring. El número de variables es el de columnas del fichero, incluida la variable objetivo y, cuando existe, el identificador.</w:t>
      </w:r>
    </w:p>
    <w:tbl>
      <w:tblPr>
        <w:tblStyle w:val="Tablaconcuadrcula"/>
        <w:tblW w:w="0" w:type="auto"/>
        <w:jc w:val="center"/>
        <w:tblLayout w:type="fixed"/>
        <w:tblLook w:val="04A0" w:firstRow="1" w:lastRow="0" w:firstColumn="1" w:lastColumn="0" w:noHBand="0" w:noVBand="1"/>
      </w:tblPr>
      <w:tblGrid>
        <w:gridCol w:w="1814"/>
        <w:gridCol w:w="1077"/>
        <w:gridCol w:w="1474"/>
        <w:gridCol w:w="1020"/>
        <w:gridCol w:w="1191"/>
        <w:gridCol w:w="1984"/>
        <w:gridCol w:w="850"/>
      </w:tblGrid>
      <w:tr w:rsidR="002479D6" w14:paraId="56744098" w14:textId="77777777">
        <w:trPr>
          <w:tblHeader/>
          <w:jc w:val="center"/>
        </w:trPr>
        <w:tc>
          <w:tcPr>
            <w:tcW w:w="1814" w:type="dxa"/>
            <w:shd w:val="clear" w:color="auto" w:fill="1F3B63"/>
          </w:tcPr>
          <w:p w14:paraId="02F9425A" w14:textId="77777777" w:rsidR="002479D6" w:rsidRDefault="00000000">
            <w:pPr>
              <w:spacing w:before="40" w:after="40"/>
              <w:jc w:val="left"/>
            </w:pPr>
            <w:r>
              <w:rPr>
                <w:b/>
                <w:color w:val="FFFFFF"/>
                <w:sz w:val="17"/>
              </w:rPr>
              <w:t xml:space="preserve">Conjunto de </w:t>
            </w:r>
            <w:proofErr w:type="spellStart"/>
            <w:r>
              <w:rPr>
                <w:b/>
                <w:color w:val="FFFFFF"/>
                <w:sz w:val="17"/>
              </w:rPr>
              <w:t>datos</w:t>
            </w:r>
            <w:proofErr w:type="spellEnd"/>
          </w:p>
        </w:tc>
        <w:tc>
          <w:tcPr>
            <w:tcW w:w="1077" w:type="dxa"/>
            <w:shd w:val="clear" w:color="auto" w:fill="1F3B63"/>
          </w:tcPr>
          <w:p w14:paraId="2F7333C3" w14:textId="77777777" w:rsidR="002479D6" w:rsidRDefault="00000000">
            <w:pPr>
              <w:spacing w:before="40" w:after="40"/>
              <w:jc w:val="left"/>
            </w:pPr>
            <w:r>
              <w:rPr>
                <w:b/>
                <w:color w:val="FFFFFF"/>
                <w:sz w:val="17"/>
              </w:rPr>
              <w:t>Fuente</w:t>
            </w:r>
          </w:p>
        </w:tc>
        <w:tc>
          <w:tcPr>
            <w:tcW w:w="1474" w:type="dxa"/>
            <w:shd w:val="clear" w:color="auto" w:fill="1F3B63"/>
          </w:tcPr>
          <w:p w14:paraId="71959B1A" w14:textId="77777777" w:rsidR="002479D6" w:rsidRDefault="00000000">
            <w:pPr>
              <w:spacing w:before="40" w:after="40"/>
              <w:jc w:val="left"/>
            </w:pPr>
            <w:proofErr w:type="spellStart"/>
            <w:r>
              <w:rPr>
                <w:b/>
                <w:color w:val="FFFFFF"/>
                <w:sz w:val="17"/>
              </w:rPr>
              <w:t>Observaciones</w:t>
            </w:r>
            <w:proofErr w:type="spellEnd"/>
          </w:p>
        </w:tc>
        <w:tc>
          <w:tcPr>
            <w:tcW w:w="1020" w:type="dxa"/>
            <w:shd w:val="clear" w:color="auto" w:fill="1F3B63"/>
          </w:tcPr>
          <w:p w14:paraId="136C2E6E" w14:textId="77777777" w:rsidR="002479D6" w:rsidRDefault="005655BD">
            <w:pPr>
              <w:spacing w:before="40" w:after="40"/>
              <w:jc w:val="left"/>
            </w:pPr>
            <w:r>
              <w:rPr>
                <w:b/>
                <w:color w:val="FFFFFF"/>
                <w:sz w:val="17"/>
              </w:rPr>
              <w:t>Variables</w:t>
            </w:r>
          </w:p>
        </w:tc>
        <w:tc>
          <w:tcPr>
            <w:tcW w:w="1191" w:type="dxa"/>
            <w:shd w:val="clear" w:color="auto" w:fill="1F3B63"/>
          </w:tcPr>
          <w:p w14:paraId="383E00B6" w14:textId="77777777" w:rsidR="002479D6" w:rsidRDefault="00000000">
            <w:pPr>
              <w:spacing w:before="40" w:after="40"/>
              <w:jc w:val="left"/>
            </w:pPr>
            <w:r>
              <w:rPr>
                <w:b/>
                <w:color w:val="FFFFFF"/>
                <w:sz w:val="17"/>
              </w:rPr>
              <w:t xml:space="preserve">Tasa de </w:t>
            </w:r>
            <w:proofErr w:type="spellStart"/>
            <w:r>
              <w:rPr>
                <w:b/>
                <w:color w:val="FFFFFF"/>
                <w:sz w:val="17"/>
              </w:rPr>
              <w:t>impago</w:t>
            </w:r>
            <w:proofErr w:type="spellEnd"/>
          </w:p>
        </w:tc>
        <w:tc>
          <w:tcPr>
            <w:tcW w:w="1984" w:type="dxa"/>
            <w:shd w:val="clear" w:color="auto" w:fill="1F3B63"/>
          </w:tcPr>
          <w:p w14:paraId="3DAE1C49" w14:textId="77777777" w:rsidR="002479D6" w:rsidRDefault="00000000">
            <w:pPr>
              <w:spacing w:before="40" w:after="40"/>
              <w:jc w:val="left"/>
            </w:pPr>
            <w:r>
              <w:rPr>
                <w:b/>
                <w:color w:val="FFFFFF"/>
                <w:sz w:val="17"/>
              </w:rPr>
              <w:t xml:space="preserve">Valores </w:t>
            </w:r>
            <w:proofErr w:type="spellStart"/>
            <w:r>
              <w:rPr>
                <w:b/>
                <w:color w:val="FFFFFF"/>
                <w:sz w:val="17"/>
              </w:rPr>
              <w:t>perdidos</w:t>
            </w:r>
            <w:proofErr w:type="spellEnd"/>
          </w:p>
        </w:tc>
        <w:tc>
          <w:tcPr>
            <w:tcW w:w="850" w:type="dxa"/>
            <w:shd w:val="clear" w:color="auto" w:fill="1F3B63"/>
          </w:tcPr>
          <w:p w14:paraId="5B7FF203" w14:textId="77777777" w:rsidR="002479D6" w:rsidRDefault="00000000">
            <w:pPr>
              <w:spacing w:before="40" w:after="40"/>
              <w:jc w:val="left"/>
            </w:pPr>
            <w:proofErr w:type="spellStart"/>
            <w:r>
              <w:rPr>
                <w:b/>
                <w:color w:val="FFFFFF"/>
                <w:sz w:val="17"/>
              </w:rPr>
              <w:t>Duplicados</w:t>
            </w:r>
            <w:proofErr w:type="spellEnd"/>
          </w:p>
        </w:tc>
      </w:tr>
      <w:tr w:rsidR="002479D6" w14:paraId="7B5135C8" w14:textId="77777777">
        <w:trPr>
          <w:jc w:val="center"/>
        </w:trPr>
        <w:tc>
          <w:tcPr>
            <w:tcW w:w="1814" w:type="dxa"/>
            <w:shd w:val="clear" w:color="auto" w:fill="EDF1F7"/>
          </w:tcPr>
          <w:p w14:paraId="44DEE973" w14:textId="77777777" w:rsidR="002479D6" w:rsidRDefault="00000000">
            <w:pPr>
              <w:spacing w:before="40" w:after="40"/>
              <w:jc w:val="left"/>
            </w:pPr>
            <w:r>
              <w:rPr>
                <w:b/>
                <w:sz w:val="17"/>
              </w:rPr>
              <w:t>Give Me Some Credit</w:t>
            </w:r>
          </w:p>
        </w:tc>
        <w:tc>
          <w:tcPr>
            <w:tcW w:w="1077" w:type="dxa"/>
          </w:tcPr>
          <w:p w14:paraId="36AEBFA3" w14:textId="77777777" w:rsidR="002479D6" w:rsidRDefault="002479D6">
            <w:pPr>
              <w:spacing w:before="40" w:after="40"/>
              <w:jc w:val="left"/>
            </w:pPr>
            <w:hyperlink r:id="rId24">
              <w:r>
                <w:rPr>
                  <w:color w:val="0563C1"/>
                  <w:sz w:val="17"/>
                  <w:u w:val="single"/>
                </w:rPr>
                <w:t>Kaggle</w:t>
              </w:r>
            </w:hyperlink>
          </w:p>
        </w:tc>
        <w:tc>
          <w:tcPr>
            <w:tcW w:w="1474" w:type="dxa"/>
          </w:tcPr>
          <w:p w14:paraId="68FAA867" w14:textId="77777777" w:rsidR="002479D6" w:rsidRDefault="00000000">
            <w:pPr>
              <w:spacing w:before="40" w:after="40"/>
              <w:jc w:val="left"/>
            </w:pPr>
            <w:r>
              <w:rPr>
                <w:sz w:val="17"/>
              </w:rPr>
              <w:t>150.000</w:t>
            </w:r>
          </w:p>
        </w:tc>
        <w:tc>
          <w:tcPr>
            <w:tcW w:w="1020" w:type="dxa"/>
          </w:tcPr>
          <w:p w14:paraId="731B6F9A" w14:textId="77777777" w:rsidR="002479D6" w:rsidRDefault="00000000">
            <w:pPr>
              <w:spacing w:before="40" w:after="40"/>
              <w:jc w:val="left"/>
            </w:pPr>
            <w:r>
              <w:rPr>
                <w:sz w:val="17"/>
              </w:rPr>
              <w:t>11</w:t>
            </w:r>
          </w:p>
        </w:tc>
        <w:tc>
          <w:tcPr>
            <w:tcW w:w="1191" w:type="dxa"/>
          </w:tcPr>
          <w:p w14:paraId="7E954E45" w14:textId="77777777" w:rsidR="002479D6" w:rsidRDefault="00000000">
            <w:pPr>
              <w:spacing w:before="40" w:after="40"/>
              <w:jc w:val="left"/>
            </w:pPr>
            <w:r>
              <w:rPr>
                <w:sz w:val="17"/>
              </w:rPr>
              <w:t>6,7 %</w:t>
            </w:r>
          </w:p>
        </w:tc>
        <w:tc>
          <w:tcPr>
            <w:tcW w:w="1984" w:type="dxa"/>
          </w:tcPr>
          <w:p w14:paraId="40E8997D" w14:textId="77777777" w:rsidR="002479D6" w:rsidRDefault="00000000">
            <w:pPr>
              <w:spacing w:before="40" w:after="40"/>
              <w:jc w:val="left"/>
            </w:pPr>
            <w:r>
              <w:rPr>
                <w:sz w:val="17"/>
              </w:rPr>
              <w:t>2 de 11 columnas: 19,8 % y 2,6 %</w:t>
            </w:r>
          </w:p>
        </w:tc>
        <w:tc>
          <w:tcPr>
            <w:tcW w:w="850" w:type="dxa"/>
          </w:tcPr>
          <w:p w14:paraId="365523F5" w14:textId="77777777" w:rsidR="002479D6" w:rsidRDefault="00000000">
            <w:pPr>
              <w:spacing w:before="40" w:after="40"/>
              <w:jc w:val="left"/>
            </w:pPr>
            <w:r>
              <w:rPr>
                <w:sz w:val="17"/>
              </w:rPr>
              <w:t>609</w:t>
            </w:r>
          </w:p>
        </w:tc>
      </w:tr>
      <w:tr w:rsidR="002479D6" w14:paraId="06E5E10E" w14:textId="77777777">
        <w:trPr>
          <w:jc w:val="center"/>
        </w:trPr>
        <w:tc>
          <w:tcPr>
            <w:tcW w:w="1814" w:type="dxa"/>
            <w:shd w:val="clear" w:color="auto" w:fill="EDF1F7"/>
          </w:tcPr>
          <w:p w14:paraId="75893A4E" w14:textId="77777777" w:rsidR="002479D6" w:rsidRDefault="00000000">
            <w:pPr>
              <w:spacing w:before="40" w:after="40"/>
              <w:jc w:val="left"/>
            </w:pPr>
            <w:r>
              <w:rPr>
                <w:b/>
                <w:sz w:val="17"/>
              </w:rPr>
              <w:t>South German Credit</w:t>
            </w:r>
          </w:p>
        </w:tc>
        <w:tc>
          <w:tcPr>
            <w:tcW w:w="1077" w:type="dxa"/>
          </w:tcPr>
          <w:p w14:paraId="2C8EBDE5" w14:textId="77777777" w:rsidR="002479D6" w:rsidRDefault="002479D6">
            <w:pPr>
              <w:spacing w:before="40" w:after="40"/>
              <w:jc w:val="left"/>
            </w:pPr>
            <w:hyperlink r:id="rId25">
              <w:r>
                <w:rPr>
                  <w:color w:val="0563C1"/>
                  <w:sz w:val="17"/>
                  <w:u w:val="single"/>
                </w:rPr>
                <w:t>UCI #573</w:t>
              </w:r>
            </w:hyperlink>
          </w:p>
        </w:tc>
        <w:tc>
          <w:tcPr>
            <w:tcW w:w="1474" w:type="dxa"/>
          </w:tcPr>
          <w:p w14:paraId="7B17C1E5" w14:textId="77777777" w:rsidR="002479D6" w:rsidRDefault="00000000">
            <w:pPr>
              <w:spacing w:before="40" w:after="40"/>
              <w:jc w:val="left"/>
            </w:pPr>
            <w:r>
              <w:rPr>
                <w:sz w:val="17"/>
              </w:rPr>
              <w:t>1.000</w:t>
            </w:r>
          </w:p>
        </w:tc>
        <w:tc>
          <w:tcPr>
            <w:tcW w:w="1020" w:type="dxa"/>
          </w:tcPr>
          <w:p w14:paraId="597667E0" w14:textId="77777777" w:rsidR="002479D6" w:rsidRDefault="00000000">
            <w:pPr>
              <w:spacing w:before="40" w:after="40"/>
              <w:jc w:val="left"/>
            </w:pPr>
            <w:r>
              <w:rPr>
                <w:sz w:val="17"/>
              </w:rPr>
              <w:t>21</w:t>
            </w:r>
          </w:p>
        </w:tc>
        <w:tc>
          <w:tcPr>
            <w:tcW w:w="1191" w:type="dxa"/>
          </w:tcPr>
          <w:p w14:paraId="2E7BD59E" w14:textId="77777777" w:rsidR="002479D6" w:rsidRDefault="00000000">
            <w:pPr>
              <w:spacing w:before="40" w:after="40"/>
              <w:jc w:val="left"/>
            </w:pPr>
            <w:r>
              <w:rPr>
                <w:sz w:val="17"/>
              </w:rPr>
              <w:t>30,0 % *</w:t>
            </w:r>
          </w:p>
        </w:tc>
        <w:tc>
          <w:tcPr>
            <w:tcW w:w="1984" w:type="dxa"/>
          </w:tcPr>
          <w:p w14:paraId="5FBECEAF" w14:textId="77777777" w:rsidR="002479D6" w:rsidRDefault="00000000">
            <w:pPr>
              <w:spacing w:before="40" w:after="40"/>
              <w:jc w:val="left"/>
            </w:pPr>
            <w:proofErr w:type="spellStart"/>
            <w:r>
              <w:rPr>
                <w:sz w:val="17"/>
              </w:rPr>
              <w:t>Ninguno</w:t>
            </w:r>
            <w:proofErr w:type="spellEnd"/>
          </w:p>
        </w:tc>
        <w:tc>
          <w:tcPr>
            <w:tcW w:w="850" w:type="dxa"/>
          </w:tcPr>
          <w:p w14:paraId="360C09EF" w14:textId="77777777" w:rsidR="002479D6" w:rsidRDefault="00000000">
            <w:pPr>
              <w:spacing w:before="40" w:after="40"/>
              <w:jc w:val="left"/>
            </w:pPr>
            <w:r>
              <w:rPr>
                <w:sz w:val="17"/>
              </w:rPr>
              <w:t>0</w:t>
            </w:r>
          </w:p>
        </w:tc>
      </w:tr>
      <w:tr w:rsidR="002479D6" w14:paraId="0E7B4DA8" w14:textId="77777777">
        <w:trPr>
          <w:jc w:val="center"/>
        </w:trPr>
        <w:tc>
          <w:tcPr>
            <w:tcW w:w="1814" w:type="dxa"/>
            <w:shd w:val="clear" w:color="auto" w:fill="EDF1F7"/>
          </w:tcPr>
          <w:p w14:paraId="3BF797A6" w14:textId="77777777" w:rsidR="002479D6" w:rsidRDefault="00000000">
            <w:pPr>
              <w:spacing w:before="40" w:after="40"/>
              <w:jc w:val="left"/>
            </w:pPr>
            <w:r>
              <w:rPr>
                <w:b/>
                <w:sz w:val="17"/>
              </w:rPr>
              <w:t>Default of Credit Card Clients (</w:t>
            </w:r>
            <w:proofErr w:type="spellStart"/>
            <w:r>
              <w:rPr>
                <w:b/>
                <w:sz w:val="17"/>
              </w:rPr>
              <w:t>Taiwán</w:t>
            </w:r>
            <w:proofErr w:type="spellEnd"/>
            <w:r>
              <w:rPr>
                <w:b/>
                <w:sz w:val="17"/>
              </w:rPr>
              <w:t>)</w:t>
            </w:r>
          </w:p>
        </w:tc>
        <w:tc>
          <w:tcPr>
            <w:tcW w:w="1077" w:type="dxa"/>
          </w:tcPr>
          <w:p w14:paraId="248192AC" w14:textId="77777777" w:rsidR="002479D6" w:rsidRDefault="002479D6">
            <w:pPr>
              <w:spacing w:before="40" w:after="40"/>
              <w:jc w:val="left"/>
            </w:pPr>
            <w:hyperlink r:id="rId26">
              <w:r>
                <w:rPr>
                  <w:color w:val="0563C1"/>
                  <w:sz w:val="17"/>
                  <w:u w:val="single"/>
                </w:rPr>
                <w:t>UCI #350</w:t>
              </w:r>
            </w:hyperlink>
          </w:p>
        </w:tc>
        <w:tc>
          <w:tcPr>
            <w:tcW w:w="1474" w:type="dxa"/>
          </w:tcPr>
          <w:p w14:paraId="19E4A262" w14:textId="77777777" w:rsidR="002479D6" w:rsidRDefault="00000000">
            <w:pPr>
              <w:spacing w:before="40" w:after="40"/>
              <w:jc w:val="left"/>
            </w:pPr>
            <w:r>
              <w:rPr>
                <w:sz w:val="17"/>
              </w:rPr>
              <w:t>30.000</w:t>
            </w:r>
          </w:p>
        </w:tc>
        <w:tc>
          <w:tcPr>
            <w:tcW w:w="1020" w:type="dxa"/>
          </w:tcPr>
          <w:p w14:paraId="73365188" w14:textId="77777777" w:rsidR="002479D6" w:rsidRDefault="00000000">
            <w:pPr>
              <w:spacing w:before="40" w:after="40"/>
              <w:jc w:val="left"/>
            </w:pPr>
            <w:r>
              <w:rPr>
                <w:sz w:val="17"/>
              </w:rPr>
              <w:t>25</w:t>
            </w:r>
          </w:p>
        </w:tc>
        <w:tc>
          <w:tcPr>
            <w:tcW w:w="1191" w:type="dxa"/>
          </w:tcPr>
          <w:p w14:paraId="05E2B6A3" w14:textId="77777777" w:rsidR="002479D6" w:rsidRDefault="00000000">
            <w:pPr>
              <w:spacing w:before="40" w:after="40"/>
              <w:jc w:val="left"/>
            </w:pPr>
            <w:r>
              <w:rPr>
                <w:sz w:val="17"/>
              </w:rPr>
              <w:t>22,1 %</w:t>
            </w:r>
          </w:p>
        </w:tc>
        <w:tc>
          <w:tcPr>
            <w:tcW w:w="1984" w:type="dxa"/>
          </w:tcPr>
          <w:p w14:paraId="658531CD" w14:textId="77777777" w:rsidR="002479D6" w:rsidRDefault="00000000">
            <w:pPr>
              <w:spacing w:before="40" w:after="40"/>
              <w:jc w:val="left"/>
            </w:pPr>
            <w:proofErr w:type="spellStart"/>
            <w:r>
              <w:rPr>
                <w:sz w:val="17"/>
              </w:rPr>
              <w:t>Ninguno</w:t>
            </w:r>
            <w:proofErr w:type="spellEnd"/>
          </w:p>
        </w:tc>
        <w:tc>
          <w:tcPr>
            <w:tcW w:w="850" w:type="dxa"/>
          </w:tcPr>
          <w:p w14:paraId="41D47438" w14:textId="77777777" w:rsidR="002479D6" w:rsidRDefault="00000000">
            <w:pPr>
              <w:spacing w:before="40" w:after="40"/>
              <w:jc w:val="left"/>
            </w:pPr>
            <w:r>
              <w:rPr>
                <w:sz w:val="17"/>
              </w:rPr>
              <w:t>35</w:t>
            </w:r>
          </w:p>
        </w:tc>
      </w:tr>
      <w:tr w:rsidR="002479D6" w14:paraId="71A5E61D" w14:textId="77777777">
        <w:trPr>
          <w:jc w:val="center"/>
        </w:trPr>
        <w:tc>
          <w:tcPr>
            <w:tcW w:w="1814" w:type="dxa"/>
            <w:shd w:val="clear" w:color="auto" w:fill="EDF1F7"/>
          </w:tcPr>
          <w:p w14:paraId="2B5EDA2F" w14:textId="77777777" w:rsidR="002479D6" w:rsidRDefault="00000000">
            <w:pPr>
              <w:spacing w:before="40" w:after="40"/>
              <w:jc w:val="left"/>
            </w:pPr>
            <w:r>
              <w:rPr>
                <w:b/>
                <w:sz w:val="17"/>
              </w:rPr>
              <w:t>Home Credit Default Risk</w:t>
            </w:r>
          </w:p>
        </w:tc>
        <w:tc>
          <w:tcPr>
            <w:tcW w:w="1077" w:type="dxa"/>
          </w:tcPr>
          <w:p w14:paraId="70E500BB" w14:textId="77777777" w:rsidR="002479D6" w:rsidRDefault="002479D6">
            <w:pPr>
              <w:spacing w:before="40" w:after="40"/>
              <w:jc w:val="left"/>
            </w:pPr>
            <w:hyperlink r:id="rId27">
              <w:r>
                <w:rPr>
                  <w:color w:val="0563C1"/>
                  <w:sz w:val="17"/>
                  <w:u w:val="single"/>
                </w:rPr>
                <w:t>Kaggle</w:t>
              </w:r>
            </w:hyperlink>
          </w:p>
        </w:tc>
        <w:tc>
          <w:tcPr>
            <w:tcW w:w="1474" w:type="dxa"/>
          </w:tcPr>
          <w:p w14:paraId="1C5A06F6" w14:textId="77777777" w:rsidR="002479D6" w:rsidRDefault="00000000">
            <w:pPr>
              <w:spacing w:before="40" w:after="40"/>
              <w:jc w:val="left"/>
            </w:pPr>
            <w:r>
              <w:rPr>
                <w:sz w:val="17"/>
              </w:rPr>
              <w:t xml:space="preserve">307.511 </w:t>
            </w:r>
            <w:proofErr w:type="spellStart"/>
            <w:r>
              <w:rPr>
                <w:sz w:val="17"/>
              </w:rPr>
              <w:t>en</w:t>
            </w:r>
            <w:proofErr w:type="spellEnd"/>
            <w:r>
              <w:rPr>
                <w:sz w:val="17"/>
              </w:rPr>
              <w:t xml:space="preserve"> la </w:t>
            </w:r>
            <w:proofErr w:type="spellStart"/>
            <w:r>
              <w:rPr>
                <w:sz w:val="17"/>
              </w:rPr>
              <w:t>tabla</w:t>
            </w:r>
            <w:proofErr w:type="spellEnd"/>
            <w:r>
              <w:rPr>
                <w:sz w:val="17"/>
              </w:rPr>
              <w:t xml:space="preserve"> principal</w:t>
            </w:r>
          </w:p>
        </w:tc>
        <w:tc>
          <w:tcPr>
            <w:tcW w:w="1020" w:type="dxa"/>
          </w:tcPr>
          <w:p w14:paraId="44C9DD1D" w14:textId="77777777" w:rsidR="002479D6" w:rsidRDefault="00000000">
            <w:pPr>
              <w:spacing w:before="40" w:after="40"/>
              <w:jc w:val="left"/>
            </w:pPr>
            <w:r>
              <w:rPr>
                <w:sz w:val="17"/>
              </w:rPr>
              <w:t xml:space="preserve">122 </w:t>
            </w:r>
            <w:proofErr w:type="spellStart"/>
            <w:r>
              <w:rPr>
                <w:sz w:val="17"/>
              </w:rPr>
              <w:t>en</w:t>
            </w:r>
            <w:proofErr w:type="spellEnd"/>
            <w:r>
              <w:rPr>
                <w:sz w:val="17"/>
              </w:rPr>
              <w:t xml:space="preserve"> la </w:t>
            </w:r>
            <w:proofErr w:type="spellStart"/>
            <w:r>
              <w:rPr>
                <w:sz w:val="17"/>
              </w:rPr>
              <w:t>tabla</w:t>
            </w:r>
            <w:proofErr w:type="spellEnd"/>
            <w:r>
              <w:rPr>
                <w:sz w:val="17"/>
              </w:rPr>
              <w:t xml:space="preserve"> principal</w:t>
            </w:r>
          </w:p>
        </w:tc>
        <w:tc>
          <w:tcPr>
            <w:tcW w:w="1191" w:type="dxa"/>
          </w:tcPr>
          <w:p w14:paraId="0F3481E5" w14:textId="77777777" w:rsidR="002479D6" w:rsidRDefault="00000000">
            <w:pPr>
              <w:spacing w:before="40" w:after="40"/>
              <w:jc w:val="left"/>
            </w:pPr>
            <w:r>
              <w:rPr>
                <w:sz w:val="17"/>
              </w:rPr>
              <w:t>8,1 %</w:t>
            </w:r>
          </w:p>
        </w:tc>
        <w:tc>
          <w:tcPr>
            <w:tcW w:w="1984" w:type="dxa"/>
          </w:tcPr>
          <w:p w14:paraId="6C67F84B" w14:textId="77777777" w:rsidR="002479D6" w:rsidRPr="00114E96" w:rsidRDefault="00000000">
            <w:pPr>
              <w:spacing w:before="40" w:after="40"/>
              <w:jc w:val="left"/>
              <w:rPr>
                <w:lang w:val="es-ES"/>
              </w:rPr>
            </w:pPr>
            <w:r w:rsidRPr="00114E96">
              <w:rPr>
                <w:sz w:val="17"/>
                <w:lang w:val="es-ES"/>
              </w:rPr>
              <w:t>67 de 122 columnas; 41 por encima del 50 %</w:t>
            </w:r>
          </w:p>
        </w:tc>
        <w:tc>
          <w:tcPr>
            <w:tcW w:w="850" w:type="dxa"/>
          </w:tcPr>
          <w:p w14:paraId="6BAD47BC" w14:textId="77777777" w:rsidR="002479D6" w:rsidRDefault="00000000">
            <w:pPr>
              <w:spacing w:before="40" w:after="40"/>
              <w:jc w:val="left"/>
            </w:pPr>
            <w:r>
              <w:rPr>
                <w:sz w:val="17"/>
              </w:rPr>
              <w:t>0</w:t>
            </w:r>
          </w:p>
        </w:tc>
      </w:tr>
      <w:tr w:rsidR="002479D6" w14:paraId="2DB3980F" w14:textId="77777777">
        <w:trPr>
          <w:jc w:val="center"/>
        </w:trPr>
        <w:tc>
          <w:tcPr>
            <w:tcW w:w="1814" w:type="dxa"/>
            <w:shd w:val="clear" w:color="auto" w:fill="EDF1F7"/>
          </w:tcPr>
          <w:p w14:paraId="0479D941" w14:textId="77777777" w:rsidR="002479D6" w:rsidRDefault="00000000">
            <w:pPr>
              <w:spacing w:before="40" w:after="40"/>
              <w:jc w:val="left"/>
            </w:pPr>
            <w:r>
              <w:rPr>
                <w:b/>
                <w:sz w:val="17"/>
              </w:rPr>
              <w:t>Lending Club</w:t>
            </w:r>
          </w:p>
        </w:tc>
        <w:tc>
          <w:tcPr>
            <w:tcW w:w="1077" w:type="dxa"/>
          </w:tcPr>
          <w:p w14:paraId="519049AF" w14:textId="77777777" w:rsidR="002479D6" w:rsidRDefault="002479D6">
            <w:pPr>
              <w:spacing w:before="40" w:after="40"/>
              <w:jc w:val="left"/>
            </w:pPr>
            <w:hyperlink r:id="rId28">
              <w:r>
                <w:rPr>
                  <w:color w:val="0563C1"/>
                  <w:sz w:val="17"/>
                  <w:u w:val="single"/>
                </w:rPr>
                <w:t>Kaggle</w:t>
              </w:r>
            </w:hyperlink>
          </w:p>
        </w:tc>
        <w:tc>
          <w:tcPr>
            <w:tcW w:w="1474" w:type="dxa"/>
          </w:tcPr>
          <w:p w14:paraId="2767ABD2" w14:textId="77777777" w:rsidR="002479D6" w:rsidRPr="00114E96" w:rsidRDefault="00000000">
            <w:pPr>
              <w:spacing w:before="40" w:after="40"/>
              <w:jc w:val="left"/>
              <w:rPr>
                <w:lang w:val="es-ES"/>
              </w:rPr>
            </w:pPr>
            <w:r w:rsidRPr="00114E96">
              <w:rPr>
                <w:sz w:val="17"/>
                <w:lang w:val="es-ES"/>
              </w:rPr>
              <w:t>2.260.668, de los que 1.345.310 están cerrados</w:t>
            </w:r>
          </w:p>
        </w:tc>
        <w:tc>
          <w:tcPr>
            <w:tcW w:w="1020" w:type="dxa"/>
          </w:tcPr>
          <w:p w14:paraId="4F376AAF" w14:textId="77777777" w:rsidR="002479D6" w:rsidRDefault="00000000">
            <w:pPr>
              <w:spacing w:before="40" w:after="40"/>
              <w:jc w:val="left"/>
            </w:pPr>
            <w:r>
              <w:rPr>
                <w:sz w:val="17"/>
              </w:rPr>
              <w:t>151</w:t>
            </w:r>
          </w:p>
        </w:tc>
        <w:tc>
          <w:tcPr>
            <w:tcW w:w="1191" w:type="dxa"/>
          </w:tcPr>
          <w:p w14:paraId="1C049BC9" w14:textId="77777777" w:rsidR="002479D6" w:rsidRPr="000911F1" w:rsidRDefault="00000000">
            <w:pPr>
              <w:spacing w:before="40" w:after="40"/>
              <w:jc w:val="left"/>
              <w:rPr>
                <w:lang w:val="es-ES"/>
              </w:rPr>
            </w:pPr>
            <w:r w:rsidRPr="000911F1">
              <w:rPr>
                <w:sz w:val="17"/>
                <w:lang w:val="es-ES"/>
              </w:rPr>
              <w:t xml:space="preserve">20,0 %, solo sobre los </w:t>
            </w:r>
            <w:r w:rsidR="000911F1" w:rsidRPr="000911F1">
              <w:rPr>
                <w:sz w:val="17"/>
                <w:lang w:val="es-ES"/>
              </w:rPr>
              <w:t xml:space="preserve">casos </w:t>
            </w:r>
            <w:r w:rsidRPr="000911F1">
              <w:rPr>
                <w:sz w:val="17"/>
                <w:lang w:val="es-ES"/>
              </w:rPr>
              <w:t>cerrados</w:t>
            </w:r>
          </w:p>
        </w:tc>
        <w:tc>
          <w:tcPr>
            <w:tcW w:w="1984" w:type="dxa"/>
          </w:tcPr>
          <w:p w14:paraId="77D92A2F" w14:textId="77777777" w:rsidR="002479D6" w:rsidRPr="00114E96" w:rsidRDefault="00000000">
            <w:pPr>
              <w:spacing w:before="40" w:after="40"/>
              <w:jc w:val="left"/>
              <w:rPr>
                <w:lang w:val="es-ES"/>
              </w:rPr>
            </w:pPr>
            <w:r w:rsidRPr="00114E96">
              <w:rPr>
                <w:sz w:val="17"/>
                <w:lang w:val="es-ES"/>
              </w:rPr>
              <w:t>113 de 151 columnas; 44 por encima del 50 %</w:t>
            </w:r>
          </w:p>
        </w:tc>
        <w:tc>
          <w:tcPr>
            <w:tcW w:w="850" w:type="dxa"/>
          </w:tcPr>
          <w:p w14:paraId="613447CE" w14:textId="77777777" w:rsidR="002479D6" w:rsidRDefault="00000000">
            <w:pPr>
              <w:spacing w:before="40" w:after="40"/>
              <w:jc w:val="left"/>
            </w:pPr>
            <w:r>
              <w:rPr>
                <w:sz w:val="17"/>
              </w:rPr>
              <w:t>0</w:t>
            </w:r>
          </w:p>
        </w:tc>
      </w:tr>
    </w:tbl>
    <w:p w14:paraId="5DDD3257" w14:textId="77777777" w:rsidR="002479D6" w:rsidRPr="00114E96" w:rsidRDefault="00000000">
      <w:pPr>
        <w:spacing w:before="60"/>
        <w:rPr>
          <w:lang w:val="es-ES"/>
        </w:rPr>
      </w:pPr>
      <w:r>
        <w:rPr>
          <w:sz w:val="17"/>
          <w:lang w:val="es-ES"/>
        </w:rPr>
        <w:t xml:space="preserve">* En South German Credit el 30 % procede de un muestreo estratificado con los créditos malos sobremuestreados; la prevalencia real rondaba el 5 % </w:t>
      </w:r>
      <w:hyperlink r:id="rId29">
        <w:r w:rsidR="002479D6">
          <w:rPr>
            <w:color w:val="0563C1"/>
            <w:u w:val="single"/>
            <w:lang w:val="es-ES"/>
          </w:rPr>
          <w:t>(</w:t>
        </w:r>
        <w:proofErr w:type="spellStart"/>
        <w:r w:rsidR="002479D6">
          <w:rPr>
            <w:color w:val="0563C1"/>
            <w:u w:val="single"/>
            <w:lang w:val="es-ES"/>
          </w:rPr>
          <w:t>Grömping</w:t>
        </w:r>
        <w:proofErr w:type="spellEnd"/>
        <w:r w:rsidR="002479D6">
          <w:rPr>
            <w:color w:val="0563C1"/>
            <w:u w:val="single"/>
            <w:lang w:val="es-ES"/>
          </w:rPr>
          <w:t>, 2019)</w:t>
        </w:r>
      </w:hyperlink>
      <w:r>
        <w:rPr>
          <w:sz w:val="17"/>
          <w:lang w:val="es-ES"/>
        </w:rPr>
        <w:t>, así que no es comparable con las tasas de los demás.</w:t>
      </w:r>
    </w:p>
    <w:p w14:paraId="09E12AF8" w14:textId="54C36810" w:rsidR="002F1FF4" w:rsidRDefault="00000000" w:rsidP="002F1FF4">
      <w:pPr>
        <w:rPr>
          <w:lang w:val="es-ES"/>
        </w:rPr>
      </w:pPr>
      <w:r>
        <w:rPr>
          <w:lang w:val="es-ES"/>
        </w:rPr>
        <w:t xml:space="preserve">De los cinco, el de Taiwán parece el más adecuado como conjunto principal: sus 30.000 observaciones y 23 variables predictoras dan tamaño suficiente para reentrenar </w:t>
      </w:r>
      <w:r w:rsidR="00C31055">
        <w:rPr>
          <w:lang w:val="es-ES"/>
        </w:rPr>
        <w:t>múltiples v</w:t>
      </w:r>
      <w:r>
        <w:rPr>
          <w:lang w:val="es-ES"/>
        </w:rPr>
        <w:t xml:space="preserve">eces sin que el coste de cómputo se dispare, no tiene valores perdidos y es el que usan </w:t>
      </w:r>
      <w:hyperlink r:id="rId30">
        <w:r w:rsidR="002F1FF4">
          <w:rPr>
            <w:color w:val="0563C1"/>
            <w:u w:val="single"/>
            <w:lang w:val="es-ES"/>
          </w:rPr>
          <w:t>Lin y Wang (2025)</w:t>
        </w:r>
      </w:hyperlink>
      <w:r>
        <w:rPr>
          <w:lang w:val="es-ES"/>
        </w:rPr>
        <w:t xml:space="preserve"> en un estudio de XGBoost y SHAP en el credit scoring, lo que permite contrastar los resultados.</w:t>
      </w:r>
    </w:p>
    <w:sectPr w:rsidR="002F1FF4"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0690547">
    <w:abstractNumId w:val="8"/>
  </w:num>
  <w:num w:numId="2" w16cid:durableId="1114208995">
    <w:abstractNumId w:val="6"/>
  </w:num>
  <w:num w:numId="3" w16cid:durableId="690186464">
    <w:abstractNumId w:val="5"/>
  </w:num>
  <w:num w:numId="4" w16cid:durableId="11231040">
    <w:abstractNumId w:val="4"/>
  </w:num>
  <w:num w:numId="5" w16cid:durableId="1518882700">
    <w:abstractNumId w:val="7"/>
  </w:num>
  <w:num w:numId="6" w16cid:durableId="2129425989">
    <w:abstractNumId w:val="3"/>
  </w:num>
  <w:num w:numId="7" w16cid:durableId="2034190563">
    <w:abstractNumId w:val="2"/>
  </w:num>
  <w:num w:numId="8" w16cid:durableId="1596547431">
    <w:abstractNumId w:val="1"/>
  </w:num>
  <w:num w:numId="9" w16cid:durableId="1824809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F97"/>
    <w:rsid w:val="0006063C"/>
    <w:rsid w:val="000911F1"/>
    <w:rsid w:val="000A1506"/>
    <w:rsid w:val="00114E96"/>
    <w:rsid w:val="0015074B"/>
    <w:rsid w:val="002479D6"/>
    <w:rsid w:val="0029639D"/>
    <w:rsid w:val="002F1FF4"/>
    <w:rsid w:val="00326F90"/>
    <w:rsid w:val="00457D2B"/>
    <w:rsid w:val="005655BD"/>
    <w:rsid w:val="00AA1D8D"/>
    <w:rsid w:val="00B4277C"/>
    <w:rsid w:val="00B47730"/>
    <w:rsid w:val="00B8222C"/>
    <w:rsid w:val="00BF4D63"/>
    <w:rsid w:val="00C0166B"/>
    <w:rsid w:val="00C31055"/>
    <w:rsid w:val="00CB0664"/>
    <w:rsid w:val="00CD4099"/>
    <w:rsid w:val="00D72C48"/>
    <w:rsid w:val="00DD0ACE"/>
    <w:rsid w:val="00DD1E5B"/>
    <w:rsid w:val="00DE24E1"/>
    <w:rsid w:val="00E77979"/>
    <w:rsid w:val="00EE000D"/>
    <w:rsid w:val="00F809B5"/>
    <w:rsid w:val="00F86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3B53C"/>
  <w14:defaultImageDpi w14:val="300"/>
  <w15:docId w15:val="{E6CFA908-A307-474C-853B-45C179196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libri" w:hAnsi="Calibri"/>
    </w:rPr>
  </w:style>
  <w:style w:type="paragraph" w:styleId="Ttulo1">
    <w:name w:val="heading 1"/>
    <w:basedOn w:val="Normal"/>
    <w:next w:val="Normal"/>
    <w:link w:val="Ttulo1Car"/>
    <w:uiPriority w:val="9"/>
    <w:qFormat/>
    <w:rsid w:val="00FC693F"/>
    <w:pPr>
      <w:keepNext/>
      <w:keepLines/>
      <w:spacing w:before="280" w:after="120"/>
      <w:jc w:val="left"/>
      <w:outlineLvl w:val="0"/>
    </w:pPr>
    <w:rPr>
      <w:rFonts w:asciiTheme="majorHAnsi" w:eastAsiaTheme="majorEastAsia" w:hAnsiTheme="majorHAnsi" w:cstheme="majorBidi"/>
      <w:b/>
      <w:bCs/>
      <w:color w:val="1F3B63"/>
      <w:sz w:val="30"/>
      <w:szCs w:val="28"/>
    </w:rPr>
  </w:style>
  <w:style w:type="paragraph" w:styleId="Ttulo2">
    <w:name w:val="heading 2"/>
    <w:basedOn w:val="Normal"/>
    <w:next w:val="Normal"/>
    <w:link w:val="Ttulo2Car"/>
    <w:uiPriority w:val="9"/>
    <w:unhideWhenUsed/>
    <w:qFormat/>
    <w:rsid w:val="00FC693F"/>
    <w:pPr>
      <w:keepNext/>
      <w:keepLines/>
      <w:spacing w:before="200" w:after="120"/>
      <w:jc w:val="left"/>
      <w:outlineLvl w:val="1"/>
    </w:pPr>
    <w:rPr>
      <w:rFonts w:asciiTheme="majorHAnsi" w:eastAsiaTheme="majorEastAsia" w:hAnsiTheme="majorHAnsi" w:cstheme="majorBidi"/>
      <w:b/>
      <w:bCs/>
      <w:color w:val="1F3B63"/>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602.04938" TargetMode="External"/><Relationship Id="rId13" Type="http://schemas.openxmlformats.org/officeDocument/2006/relationships/hyperlink" Target="https://eur-lex.europa.eu/eli/dir/2023/2225/oj" TargetMode="External"/><Relationship Id="rId18" Type="http://schemas.openxmlformats.org/officeDocument/2006/relationships/hyperlink" Target="https://proceedings.neurips.cc/paper_files/paper/2017/hash/8a20a8621978632d76c43dfd28b67767-Abstract.html" TargetMode="External"/><Relationship Id="rId26" Type="http://schemas.openxmlformats.org/officeDocument/2006/relationships/hyperlink" Target="https://archive.ics.uci.edu/dataset/350/default+of+credit+card+clients" TargetMode="External"/><Relationship Id="rId3" Type="http://schemas.openxmlformats.org/officeDocument/2006/relationships/styles" Target="styles.xml"/><Relationship Id="rId21" Type="http://schemas.openxmlformats.org/officeDocument/2006/relationships/hyperlink" Target="https://doi.org/10.1145/2939672.2939785" TargetMode="External"/><Relationship Id="rId7" Type="http://schemas.openxmlformats.org/officeDocument/2006/relationships/hyperlink" Target="https://doi.org/10.1038/s42256-019-0048-x" TargetMode="External"/><Relationship Id="rId12" Type="http://schemas.openxmlformats.org/officeDocument/2006/relationships/hyperlink" Target="https://eur-lex.europa.eu/eli/reg/2016/679/oj" TargetMode="External"/><Relationship Id="rId17" Type="http://schemas.openxmlformats.org/officeDocument/2006/relationships/hyperlink" Target="https://arxiv.org/abs/1602.04938" TargetMode="External"/><Relationship Id="rId25" Type="http://schemas.openxmlformats.org/officeDocument/2006/relationships/hyperlink" Target="https://archive.ics.uci.edu/dataset/573/south+german+credit" TargetMode="External"/><Relationship Id="rId2" Type="http://schemas.openxmlformats.org/officeDocument/2006/relationships/numbering" Target="numbering.xml"/><Relationship Id="rId16" Type="http://schemas.openxmlformats.org/officeDocument/2006/relationships/hyperlink" Target="https://doi.org/10.1080/01605682.2025.2485263" TargetMode="External"/><Relationship Id="rId20" Type="http://schemas.openxmlformats.org/officeDocument/2006/relationships/hyperlink" Target="https://doi.org/10.1145/3351095.3372850" TargetMode="External"/><Relationship Id="rId29" Type="http://schemas.openxmlformats.org/officeDocument/2006/relationships/hyperlink" Target="https://archive.ics.uci.edu/dataset/573/south+german+credit" TargetMode="External"/><Relationship Id="rId1" Type="http://schemas.openxmlformats.org/officeDocument/2006/relationships/customXml" Target="../customXml/item1.xml"/><Relationship Id="rId6" Type="http://schemas.openxmlformats.org/officeDocument/2006/relationships/hyperlink" Target="https://doi.org/10.1109/ACCESS.2018.2870052" TargetMode="External"/><Relationship Id="rId11" Type="http://schemas.openxmlformats.org/officeDocument/2006/relationships/hyperlink" Target="https://doi.org/10.1016/j.ejor.2015.05.030" TargetMode="External"/><Relationship Id="rId24" Type="http://schemas.openxmlformats.org/officeDocument/2006/relationships/hyperlink" Target="https://www.kaggle.com/c/GiveMeSomeCredi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3390/risks13120238" TargetMode="External"/><Relationship Id="rId23" Type="http://schemas.openxmlformats.org/officeDocument/2006/relationships/hyperlink" Target="https://doi.org/10.3390/risks13120238" TargetMode="External"/><Relationship Id="rId28" Type="http://schemas.openxmlformats.org/officeDocument/2006/relationships/hyperlink" Target="https://www.kaggle.com/datasets/wordsforthewise/lending-club" TargetMode="External"/><Relationship Id="rId10" Type="http://schemas.openxmlformats.org/officeDocument/2006/relationships/hyperlink" Target="https://doi.org/10.1145/3351095.3372850" TargetMode="External"/><Relationship Id="rId19" Type="http://schemas.openxmlformats.org/officeDocument/2006/relationships/hyperlink" Target="https://doi.org/10.1038/s42256-019-0138-9"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roceedings.neurips.cc/paper_files/paper/2017/hash/8a20a8621978632d76c43dfd28b67767-Abstract.html" TargetMode="External"/><Relationship Id="rId14" Type="http://schemas.openxmlformats.org/officeDocument/2006/relationships/hyperlink" Target="https://eur-lex.europa.eu/eli/reg/2024/1689/oj" TargetMode="External"/><Relationship Id="rId22" Type="http://schemas.openxmlformats.org/officeDocument/2006/relationships/hyperlink" Target="https://doi.org/10.1016/j.ejor.2015.05.030" TargetMode="External"/><Relationship Id="rId27" Type="http://schemas.openxmlformats.org/officeDocument/2006/relationships/hyperlink" Target="https://www.kaggle.com/c/home-credit-default-risk" TargetMode="External"/><Relationship Id="rId30" Type="http://schemas.openxmlformats.org/officeDocument/2006/relationships/hyperlink" Target="https://doi.org/10.3390/risks13120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Pages>
  <Words>1570</Words>
  <Characters>8635</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Explicabilidad de modelos de caja negra en credit scoring. Informe de la fase inicial</vt:lpstr>
      <vt:lpstr/>
    </vt:vector>
  </TitlesOfParts>
  <Manager/>
  <Company/>
  <LinksUpToDate>false</LinksUpToDate>
  <CharactersWithSpaces>10185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Explicabilidad de modelos de caja negra en credit scoring. Informe de la fase inicial</dc:title>
  <dc:subject>Trabajo de Fin de Grado. Grado en Ciencia e Ingeniería de Datos, Universidade da Coruña</dc:subject>
  <dc:creator>Álvaro Pérez</dc:creator>
  <cp:keywords/>
  <dc:description/>
  <cp:lastModifiedBy>Álvaro Pérez Rodríguez</cp:lastModifiedBy>
  <cp:revision>17</cp:revision>
  <dcterms:created xsi:type="dcterms:W3CDTF">2026-09-12T10:00:00Z</dcterms:created>
  <dcterms:modified xsi:type="dcterms:W3CDTF">2026-09-16T03:43:00Z</dcterms:modified>
  <cp:category/>
</cp:coreProperties>
</file>