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Guion de la presentación</w:t>
      </w:r>
    </w:p>
    <w:p>
      <w:pPr>
        <w:spacing w:after="60"/>
      </w:pPr>
      <w:r>
        <w:rPr>
          <w:color w:val="C23B5E"/>
          <w:sz w:val="26"/>
          <w:szCs w:val="26"/>
        </w:rPr>
        <w:t xml:space="preserve">Cremoso Antojo · Simulador Global Sym (Períodos 1 a 3)</w:t>
      </w:r>
    </w:p>
    <w:p>
      <w:pPr>
        <w:spacing w:after="240"/>
      </w:pPr>
      <w:r>
        <w:rPr>
          <w:i/>
          <w:iCs/>
          <w:color w:val="6B5F5B"/>
        </w:rPr>
        <w:t xml:space="preserve">Duración estimada: 8:35 minutos (máximo permitido: 9:30). No incluye la portada.</w:t>
      </w:r>
    </w:p>
    <w:p>
      <w:pPr>
        <w:pStyle w:val="Heading1"/>
      </w:pPr>
      <w:r>
        <w:t xml:space="preserve">Distribución del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60"/>
        <w:gridCol w:w="2500"/>
      </w:tblGrid>
      <w:tr>
        <w:trPr>
          <w:tblHeader/>
        </w:trPr>
        <w:tc>
          <w:tcPr>
            <w:tcW w:type="dxa" w:w="1100"/>
            <w:tcBorders>
              <w:top w:val="single" w:color="E8D9DC" w:sz="4"/>
              <w:left w:val="single" w:color="E8D9DC" w:sz="4"/>
              <w:bottom w:val="single" w:color="E8D9DC" w:sz="4"/>
              <w:right w:val="single" w:color="E8D9DC" w:sz="4"/>
            </w:tcBorders>
            <w:shd w:fill="3B2420" w:color="auto" w:val="clear"/>
            <w:tcMar>
              <w:top w:type="dxa" w:w="60"/>
              <w:left w:type="dxa" w:w="120"/>
              <w:bottom w:type="dxa" w:w="60"/>
              <w:right w:type="dxa" w:w="120"/>
            </w:tcMar>
          </w:tcPr>
          <w:p>
            <w:pPr>
              <w:spacing w:after="0" w:line="240"/>
              <w:jc w:val="center"/>
            </w:pPr>
            <w:r>
              <w:rPr>
                <w:b/>
                <w:bCs/>
                <w:color w:val="FFFFFF"/>
              </w:rPr>
              <w:t xml:space="preserve">N°</w:t>
            </w:r>
          </w:p>
        </w:tc>
        <w:tc>
          <w:tcPr>
            <w:tcW w:type="dxa" w:w="5760"/>
            <w:tcBorders>
              <w:top w:val="single" w:color="E8D9DC" w:sz="4"/>
              <w:left w:val="single" w:color="E8D9DC" w:sz="4"/>
              <w:bottom w:val="single" w:color="E8D9DC" w:sz="4"/>
              <w:right w:val="single" w:color="E8D9DC" w:sz="4"/>
            </w:tcBorders>
            <w:shd w:fill="3B2420" w:color="auto" w:val="clear"/>
            <w:tcMar>
              <w:top w:type="dxa" w:w="60"/>
              <w:left w:type="dxa" w:w="120"/>
              <w:bottom w:type="dxa" w:w="60"/>
              <w:right w:type="dxa" w:w="120"/>
            </w:tcMar>
          </w:tcPr>
          <w:p>
            <w:pPr>
              <w:spacing w:after="0" w:line="240"/>
            </w:pPr>
            <w:r>
              <w:rPr>
                <w:b/>
                <w:bCs/>
                <w:color w:val="FFFFFF"/>
              </w:rPr>
              <w:t xml:space="preserve">Diapositiva</w:t>
            </w:r>
          </w:p>
        </w:tc>
        <w:tc>
          <w:tcPr>
            <w:tcW w:type="dxa" w:w="2500"/>
            <w:tcBorders>
              <w:top w:val="single" w:color="E8D9DC" w:sz="4"/>
              <w:left w:val="single" w:color="E8D9DC" w:sz="4"/>
              <w:bottom w:val="single" w:color="E8D9DC" w:sz="4"/>
              <w:right w:val="single" w:color="E8D9DC" w:sz="4"/>
            </w:tcBorders>
            <w:shd w:fill="3B2420" w:color="auto" w:val="clear"/>
            <w:tcMar>
              <w:top w:type="dxa" w:w="60"/>
              <w:left w:type="dxa" w:w="120"/>
              <w:bottom w:type="dxa" w:w="60"/>
              <w:right w:type="dxa" w:w="120"/>
            </w:tcMar>
          </w:tcPr>
          <w:p>
            <w:pPr>
              <w:spacing w:after="0" w:line="240"/>
              <w:jc w:val="center"/>
            </w:pPr>
            <w:r>
              <w:rPr>
                <w:b/>
                <w:bCs/>
                <w:color w:val="FFFFFF"/>
              </w:rPr>
              <w:t xml:space="preserve">Tiempo aprox.</w:t>
            </w:r>
          </w:p>
        </w:tc>
      </w:tr>
      <w:tr>
        <w:tc>
          <w:tcPr>
            <w:tcW w:type="dxa" w:w="110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jc w:val="center"/>
            </w:pPr>
            <w:r>
              <w:t xml:space="preserve">2</w:t>
            </w:r>
          </w:p>
        </w:tc>
        <w:tc>
          <w:tcPr>
            <w:tcW w:type="dxa" w:w="576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pPr>
            <w:r>
              <w:t xml:space="preserve">Resumen ejecutivo</w:t>
            </w:r>
          </w:p>
        </w:tc>
        <w:tc>
          <w:tcPr>
            <w:tcW w:type="dxa" w:w="250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jc w:val="center"/>
            </w:pPr>
            <w:r>
              <w:t xml:space="preserve">1:00</w:t>
            </w:r>
          </w:p>
        </w:tc>
      </w:tr>
      <w:tr>
        <w:tc>
          <w:tcPr>
            <w:tcW w:type="dxa" w:w="110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jc w:val="center"/>
            </w:pPr>
            <w:r>
              <w:t xml:space="preserve">3</w:t>
            </w:r>
          </w:p>
        </w:tc>
        <w:tc>
          <w:tcPr>
            <w:tcW w:type="dxa" w:w="576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pPr>
            <w:r>
              <w:t xml:space="preserve">Introducción y sector industrial</w:t>
            </w:r>
          </w:p>
        </w:tc>
        <w:tc>
          <w:tcPr>
            <w:tcW w:type="dxa" w:w="250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jc w:val="center"/>
            </w:pPr>
            <w:r>
              <w:t xml:space="preserve">0:55</w:t>
            </w:r>
          </w:p>
        </w:tc>
      </w:tr>
      <w:tr>
        <w:tc>
          <w:tcPr>
            <w:tcW w:type="dxa" w:w="110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jc w:val="center"/>
            </w:pPr>
            <w:r>
              <w:t xml:space="preserve">4</w:t>
            </w:r>
          </w:p>
        </w:tc>
        <w:tc>
          <w:tcPr>
            <w:tcW w:type="dxa" w:w="576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pPr>
            <w:r>
              <w:t xml:space="preserve">Análisis del negocio</w:t>
            </w:r>
          </w:p>
        </w:tc>
        <w:tc>
          <w:tcPr>
            <w:tcW w:type="dxa" w:w="250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jc w:val="center"/>
            </w:pPr>
            <w:r>
              <w:t xml:space="preserve">0:50</w:t>
            </w:r>
          </w:p>
        </w:tc>
      </w:tr>
      <w:tr>
        <w:tc>
          <w:tcPr>
            <w:tcW w:type="dxa" w:w="110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jc w:val="center"/>
            </w:pPr>
            <w:r>
              <w:t xml:space="preserve">5</w:t>
            </w:r>
          </w:p>
        </w:tc>
        <w:tc>
          <w:tcPr>
            <w:tcW w:type="dxa" w:w="576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pPr>
            <w:r>
              <w:t xml:space="preserve">Misión, visión, objetivos y stakeholders</w:t>
            </w:r>
          </w:p>
        </w:tc>
        <w:tc>
          <w:tcPr>
            <w:tcW w:type="dxa" w:w="250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jc w:val="center"/>
            </w:pPr>
            <w:r>
              <w:t xml:space="preserve">0:55</w:t>
            </w:r>
          </w:p>
        </w:tc>
      </w:tr>
      <w:tr>
        <w:tc>
          <w:tcPr>
            <w:tcW w:type="dxa" w:w="110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jc w:val="center"/>
            </w:pPr>
            <w:r>
              <w:t xml:space="preserve">6</w:t>
            </w:r>
          </w:p>
        </w:tc>
        <w:tc>
          <w:tcPr>
            <w:tcW w:type="dxa" w:w="576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pPr>
            <w:r>
              <w:t xml:space="preserve">Organización de la empresa</w:t>
            </w:r>
          </w:p>
        </w:tc>
        <w:tc>
          <w:tcPr>
            <w:tcW w:type="dxa" w:w="250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jc w:val="center"/>
            </w:pPr>
            <w:r>
              <w:t xml:space="preserve">0:35</w:t>
            </w:r>
          </w:p>
        </w:tc>
      </w:tr>
      <w:tr>
        <w:tc>
          <w:tcPr>
            <w:tcW w:type="dxa" w:w="110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jc w:val="center"/>
            </w:pPr>
            <w:r>
              <w:t xml:space="preserve">7</w:t>
            </w:r>
          </w:p>
        </w:tc>
        <w:tc>
          <w:tcPr>
            <w:tcW w:type="dxa" w:w="576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pPr>
            <w:r>
              <w:t xml:space="preserve">Costos fijos, variables y totales</w:t>
            </w:r>
          </w:p>
        </w:tc>
        <w:tc>
          <w:tcPr>
            <w:tcW w:type="dxa" w:w="250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jc w:val="center"/>
            </w:pPr>
            <w:r>
              <w:t xml:space="preserve">1:05</w:t>
            </w:r>
          </w:p>
        </w:tc>
      </w:tr>
      <w:tr>
        <w:tc>
          <w:tcPr>
            <w:tcW w:type="dxa" w:w="110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jc w:val="center"/>
            </w:pPr>
            <w:r>
              <w:t xml:space="preserve">8</w:t>
            </w:r>
          </w:p>
        </w:tc>
        <w:tc>
          <w:tcPr>
            <w:tcW w:type="dxa" w:w="576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pPr>
            <w:r>
              <w:t xml:space="preserve">Resultados en el simulador</w:t>
            </w:r>
          </w:p>
        </w:tc>
        <w:tc>
          <w:tcPr>
            <w:tcW w:type="dxa" w:w="250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jc w:val="center"/>
            </w:pPr>
            <w:r>
              <w:t xml:space="preserve">0:45</w:t>
            </w:r>
          </w:p>
        </w:tc>
      </w:tr>
      <w:tr>
        <w:tc>
          <w:tcPr>
            <w:tcW w:type="dxa" w:w="110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jc w:val="center"/>
            </w:pPr>
            <w:r>
              <w:t xml:space="preserve">9</w:t>
            </w:r>
          </w:p>
        </w:tc>
        <w:tc>
          <w:tcPr>
            <w:tcW w:type="dxa" w:w="576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pPr>
            <w:r>
              <w:t xml:space="preserve">Inversión, deuda y aporte del equipo</w:t>
            </w:r>
          </w:p>
        </w:tc>
        <w:tc>
          <w:tcPr>
            <w:tcW w:type="dxa" w:w="250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jc w:val="center"/>
            </w:pPr>
            <w:r>
              <w:t xml:space="preserve">0:55</w:t>
            </w:r>
          </w:p>
        </w:tc>
      </w:tr>
      <w:tr>
        <w:tc>
          <w:tcPr>
            <w:tcW w:type="dxa" w:w="110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jc w:val="center"/>
            </w:pPr>
            <w:r>
              <w:t xml:space="preserve">10</w:t>
            </w:r>
          </w:p>
        </w:tc>
        <w:tc>
          <w:tcPr>
            <w:tcW w:type="dxa" w:w="576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pPr>
            <w:r>
              <w:t xml:space="preserve">Dificultades y aprendizajes</w:t>
            </w:r>
          </w:p>
        </w:tc>
        <w:tc>
          <w:tcPr>
            <w:tcW w:type="dxa" w:w="2500"/>
            <w:tcBorders>
              <w:top w:val="single" w:color="E8D9DC" w:sz="4"/>
              <w:left w:val="single" w:color="E8D9DC" w:sz="4"/>
              <w:bottom w:val="single" w:color="E8D9DC" w:sz="4"/>
              <w:right w:val="single" w:color="E8D9DC" w:sz="4"/>
            </w:tcBorders>
            <w:shd w:fill="FBE9EE" w:color="auto" w:val="clear"/>
            <w:tcMar>
              <w:top w:type="dxa" w:w="60"/>
              <w:left w:type="dxa" w:w="120"/>
              <w:bottom w:type="dxa" w:w="60"/>
              <w:right w:type="dxa" w:w="120"/>
            </w:tcMar>
          </w:tcPr>
          <w:p>
            <w:pPr>
              <w:spacing w:after="0" w:line="240"/>
              <w:jc w:val="center"/>
            </w:pPr>
            <w:r>
              <w:t xml:space="preserve">0:50</w:t>
            </w:r>
          </w:p>
        </w:tc>
      </w:tr>
      <w:tr>
        <w:tc>
          <w:tcPr>
            <w:tcW w:type="dxa" w:w="110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jc w:val="center"/>
            </w:pPr>
            <w:r>
              <w:t xml:space="preserve">11</w:t>
            </w:r>
          </w:p>
        </w:tc>
        <w:tc>
          <w:tcPr>
            <w:tcW w:type="dxa" w:w="576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pPr>
            <w:r>
              <w:t xml:space="preserve">Teoría y práctica · Conclusiones</w:t>
            </w:r>
          </w:p>
        </w:tc>
        <w:tc>
          <w:tcPr>
            <w:tcW w:type="dxa" w:w="2500"/>
            <w:tcBorders>
              <w:top w:val="single" w:color="E8D9DC" w:sz="4"/>
              <w:left w:val="single" w:color="E8D9DC" w:sz="4"/>
              <w:bottom w:val="single" w:color="E8D9DC" w:sz="4"/>
              <w:right w:val="single" w:color="E8D9DC" w:sz="4"/>
            </w:tcBorders>
            <w:tcMar>
              <w:top w:type="dxa" w:w="60"/>
              <w:left w:type="dxa" w:w="120"/>
              <w:bottom w:type="dxa" w:w="60"/>
              <w:right w:type="dxa" w:w="120"/>
            </w:tcMar>
          </w:tcPr>
          <w:p>
            <w:pPr>
              <w:spacing w:after="0" w:line="240"/>
              <w:jc w:val="center"/>
            </w:pPr>
            <w:r>
              <w:t xml:space="preserve">0:45</w:t>
            </w:r>
          </w:p>
        </w:tc>
      </w:tr>
      <w:tr>
        <w:tc>
          <w:tcPr>
            <w:tcW w:type="dxa" w:w="1100"/>
            <w:tcBorders>
              <w:top w:val="single" w:color="E8D9DC" w:sz="4"/>
              <w:left w:val="single" w:color="E8D9DC" w:sz="4"/>
              <w:bottom w:val="single" w:color="E8D9DC" w:sz="4"/>
              <w:right w:val="single" w:color="E8D9DC" w:sz="4"/>
            </w:tcBorders>
            <w:shd w:fill="F2E4E7" w:color="auto" w:val="clear"/>
            <w:tcMar>
              <w:top w:type="dxa" w:w="60"/>
              <w:left w:type="dxa" w:w="120"/>
              <w:bottom w:type="dxa" w:w="60"/>
              <w:right w:type="dxa" w:w="120"/>
            </w:tcMar>
          </w:tcPr>
          <w:p>
            <w:pPr>
              <w:spacing w:after="0" w:line="240"/>
            </w:pPr>
            <w:r>
              <w:t xml:space="preserve"/>
            </w:r>
          </w:p>
        </w:tc>
        <w:tc>
          <w:tcPr>
            <w:tcW w:type="dxa" w:w="5760"/>
            <w:tcBorders>
              <w:top w:val="single" w:color="E8D9DC" w:sz="4"/>
              <w:left w:val="single" w:color="E8D9DC" w:sz="4"/>
              <w:bottom w:val="single" w:color="E8D9DC" w:sz="4"/>
              <w:right w:val="single" w:color="E8D9DC" w:sz="4"/>
            </w:tcBorders>
            <w:shd w:fill="F2E4E7" w:color="auto" w:val="clear"/>
            <w:tcMar>
              <w:top w:type="dxa" w:w="60"/>
              <w:left w:type="dxa" w:w="120"/>
              <w:bottom w:type="dxa" w:w="60"/>
              <w:right w:type="dxa" w:w="120"/>
            </w:tcMar>
          </w:tcPr>
          <w:p>
            <w:pPr>
              <w:spacing w:after="0" w:line="240"/>
            </w:pPr>
            <w:r>
              <w:rPr>
                <w:b/>
                <w:bCs/>
              </w:rPr>
              <w:t xml:space="preserve">Total</w:t>
            </w:r>
          </w:p>
        </w:tc>
        <w:tc>
          <w:tcPr>
            <w:tcW w:type="dxa" w:w="2500"/>
            <w:tcBorders>
              <w:top w:val="single" w:color="E8D9DC" w:sz="4"/>
              <w:left w:val="single" w:color="E8D9DC" w:sz="4"/>
              <w:bottom w:val="single" w:color="E8D9DC" w:sz="4"/>
              <w:right w:val="single" w:color="E8D9DC" w:sz="4"/>
            </w:tcBorders>
            <w:shd w:fill="F2E4E7" w:color="auto" w:val="clear"/>
            <w:tcMar>
              <w:top w:type="dxa" w:w="60"/>
              <w:left w:type="dxa" w:w="120"/>
              <w:bottom w:type="dxa" w:w="60"/>
              <w:right w:type="dxa" w:w="120"/>
            </w:tcMar>
          </w:tcPr>
          <w:p>
            <w:pPr>
              <w:spacing w:after="0" w:line="240"/>
              <w:jc w:val="center"/>
            </w:pPr>
            <w:r>
              <w:rPr>
                <w:b/>
                <w:bCs/>
              </w:rPr>
              <w:t xml:space="preserve">≈ 8:35 min</w:t>
            </w:r>
          </w:p>
        </w:tc>
      </w:tr>
    </w:tbl>
    <w:p>
      <w:pPr>
        <w:spacing w:before="160"/>
      </w:pPr>
      <w:r>
        <w:rPr>
          <w:i/>
          <w:iCs/>
          <w:color w:val="6B5F5B"/>
          <w:sz w:val="20"/>
          <w:szCs w:val="20"/>
        </w:rPr>
        <w:t xml:space="preserve">Los montos están escritos como se dicen en voz alta. El margen de casi un minuto cubre pausas y cambios de orador.</w:t>
      </w:r>
    </w:p>
    <w:p>
      <w:pPr>
        <w:pStyle w:val="Heading1"/>
      </w:pPr>
      <w:r>
        <w:t xml:space="preserve">Guion por diapositiva</w:t>
      </w:r>
    </w:p>
    <w:p>
      <w:pPr>
        <w:pStyle w:val="Heading2"/>
        <w:keepNext/>
      </w:pPr>
      <w:r>
        <w:t xml:space="preserve">Diapositiva 2 · Resumen ejecutivo</w:t>
      </w:r>
    </w:p>
    <w:p>
      <w:pPr>
        <w:keepNext/>
        <w:spacing w:after="80"/>
      </w:pPr>
      <w:r>
        <w:rPr>
          <w:i/>
          <w:iCs/>
          <w:color w:val="C23B5E"/>
          <w:sz w:val="20"/>
          <w:szCs w:val="20"/>
        </w:rPr>
        <w:t xml:space="preserve">Tiempo aproximado: 1:00</w:t>
      </w:r>
    </w:p>
    <w:p>
      <w:pPr>
        <w:jc w:val="both"/>
      </w:pPr>
      <w:r>
        <w:t xml:space="preserve">Buenos días, profesor. Somos el equipo de Cremoso Antojo y le presentaremos los resultados de nuestros tres primeros períodos en Global Sym. Parto con el resumen: en el Período 3 nuestro costo total fue de cuatro millones quinientos setenta y siete mil pesos. Eso significa que cada litro nos costó en promedio dos mil trescientos cuarenta y ocho pesos, pero lo vendimos entre mil doscientos y mil trescientos cincuenta. Por eso acumulamos una pérdida de seis millones seiscientos ochenta mil pesos y un ROA y ROE de menos setenta y dos por ciento. Pero también hay un logro claro: las pérdidas por productos vencidos bajaron de más de un millón a menos de quince mil pesos. Nuestro foco ahora es ajustar precios, eliminar multas y revisar la reventa de yogurt.</w:t>
      </w:r>
    </w:p>
    <w:p>
      <w:pPr>
        <w:pStyle w:val="Heading2"/>
        <w:keepNext/>
      </w:pPr>
      <w:r>
        <w:t xml:space="preserve">Diapositiva 3 · Introducción y sector industrial</w:t>
      </w:r>
    </w:p>
    <w:p>
      <w:pPr>
        <w:keepNext/>
        <w:spacing w:after="80"/>
      </w:pPr>
      <w:r>
        <w:rPr>
          <w:i/>
          <w:iCs/>
          <w:color w:val="C23B5E"/>
          <w:sz w:val="20"/>
          <w:szCs w:val="20"/>
        </w:rPr>
        <w:t xml:space="preserve">Tiempo aproximado: 0:55</w:t>
      </w:r>
    </w:p>
    <w:p>
      <w:pPr>
        <w:jc w:val="both"/>
      </w:pPr>
      <w:r>
        <w:t xml:space="preserve">Cremoso Antojo elabora postres de leche artesanales, con recetas tradicionales pero una imagen moderna, y además revende yogurt que compramos a otras empresas. Competimos en el sector de lácteos dulces, un único mercado donde participan catorce empresas. Es un mercado atomizado: nadie controla una parte importante de la oferta, de la demanda ni de los proveedores, y por eso la rivalidad es intensa; se compite por precio, marketing, locales y calidad. La barrera de entrada es moderada, porque construir la fábrica cuesta tres millones, el treinta por ciento del capital inicial, y la de salida es baja. Además hay muchos sustitutos, como heladerías, pastelerías o chocolates, así que si subimos mucho el precio el cliente se puede ir.</w:t>
      </w:r>
    </w:p>
    <w:p>
      <w:pPr>
        <w:pStyle w:val="Heading2"/>
        <w:keepNext/>
      </w:pPr>
      <w:r>
        <w:t xml:space="preserve">Diapositiva 4 · Análisis del negocio</w:t>
      </w:r>
    </w:p>
    <w:p>
      <w:pPr>
        <w:keepNext/>
        <w:spacing w:after="80"/>
      </w:pPr>
      <w:r>
        <w:rPr>
          <w:i/>
          <w:iCs/>
          <w:color w:val="C23B5E"/>
          <w:sz w:val="20"/>
          <w:szCs w:val="20"/>
        </w:rPr>
        <w:t xml:space="preserve">Tiempo aproximado: 0:50</w:t>
      </w:r>
    </w:p>
    <w:p>
      <w:pPr>
        <w:jc w:val="both"/>
      </w:pPr>
      <w:r>
        <w:t xml:space="preserve">¿A quién le vendemos? A familias, jóvenes y adultos que consumen postres de forma habitual, y a locales comerciales que buscan un proveedor confiable para revender. La necesidad que cubrimos es comer algo dulce, rico y con sabor casero sin tener que prepararlo, con productos frescos y seguros. Para eso usamos una fábrica propia con turnos y mantención, cadena de frío y transporte, y control de calidad en cada lote. Nuestra estrategia ha sido competir por costos: precios bajos para vender más volumen. Sin embargo, en el simulador las empresas líderes combinan buen precio con marketing constante, suficientes locales, calidad e imagen acumulada.</w:t>
      </w:r>
    </w:p>
    <w:p>
      <w:pPr>
        <w:pStyle w:val="Heading2"/>
        <w:keepNext/>
      </w:pPr>
      <w:r>
        <w:t xml:space="preserve">Diapositiva 5 · Misión, visión, objetivos y stakeholders</w:t>
      </w:r>
    </w:p>
    <w:p>
      <w:pPr>
        <w:keepNext/>
        <w:spacing w:after="80"/>
      </w:pPr>
      <w:r>
        <w:rPr>
          <w:i/>
          <w:iCs/>
          <w:color w:val="C23B5E"/>
          <w:sz w:val="20"/>
          <w:szCs w:val="20"/>
        </w:rPr>
        <w:t xml:space="preserve">Tiempo aproximado: 0:55</w:t>
      </w:r>
    </w:p>
    <w:p>
      <w:pPr>
        <w:jc w:val="both"/>
      </w:pPr>
      <w:r>
        <w:t xml:space="preserve">Nuestra misión es elaborar postres de leche artesanales y distribuir yogurt de calidad, a precio accesible, para familias, jóvenes, adultos y locales comerciales. Nuestra visión es ser, al año dos mil veintinueve, la marca de postres de leche artesanales líder en preferencia de la región. De ahí salen cuatro objetivos: aumentar las ventas, mejorar la eficiencia productiva, mantener la satisfacción del cliente y aumentar el reconocimiento de marca. En la tabla vinculamos cada stakeholder con esos objetivos. Por ejemplo, los clientes se relacionan con ventas, satisfacción y marca; los trabajadores de producción, con la eficiencia; y el Estado, a través del SII, la Seremi y la municipalidad, con la calidad sanitaria de lo que vendemos.</w:t>
      </w:r>
    </w:p>
    <w:p>
      <w:pPr>
        <w:pStyle w:val="Heading2"/>
        <w:keepNext/>
      </w:pPr>
      <w:r>
        <w:t xml:space="preserve">Diapositiva 6 · Organización de la empresa</w:t>
      </w:r>
    </w:p>
    <w:p>
      <w:pPr>
        <w:keepNext/>
        <w:spacing w:after="80"/>
      </w:pPr>
      <w:r>
        <w:rPr>
          <w:i/>
          <w:iCs/>
          <w:color w:val="C23B5E"/>
          <w:sz w:val="20"/>
          <w:szCs w:val="20"/>
        </w:rPr>
        <w:t xml:space="preserve">Tiempo aproximado: 0:35</w:t>
      </w:r>
    </w:p>
    <w:p>
      <w:pPr>
        <w:jc w:val="both"/>
      </w:pPr>
      <w:r>
        <w:t xml:space="preserve">Para cumplir esos objetivos nos organizamos en tres áreas. Administración y Finanzas, a cargo de Álvaro, decide créditos e inversiones y controla la caja, los gastos y los impuestos. Marketing y Ventas, a cargo de Brando, fija el precio, la cantidad de locales y el presupuesto de publicidad. Y Producción y Operaciones, a cargo de Vicente, decide cuánto producir, cuántos turnos abrir y la mantención de la fábrica para evitar fallas.</w:t>
      </w:r>
    </w:p>
    <w:p>
      <w:pPr>
        <w:pStyle w:val="Heading2"/>
        <w:keepNext/>
      </w:pPr>
      <w:r>
        <w:t xml:space="preserve">Diapositiva 7 · Costos fijos, variables y totales</w:t>
      </w:r>
    </w:p>
    <w:p>
      <w:pPr>
        <w:keepNext/>
        <w:spacing w:after="80"/>
      </w:pPr>
      <w:r>
        <w:rPr>
          <w:i/>
          <w:iCs/>
          <w:color w:val="C23B5E"/>
          <w:sz w:val="20"/>
          <w:szCs w:val="20"/>
        </w:rPr>
        <w:t xml:space="preserve">Tiempo aproximado: 1:05</w:t>
      </w:r>
    </w:p>
    <w:p>
      <w:pPr>
        <w:jc w:val="both"/>
      </w:pPr>
      <w:r>
        <w:t xml:space="preserve">Ahora los costos del Período 3. Los costos fijos sumaron dos millones sesenta y dos mil quinientos pesos. Como muestra el gráfico, los gastos del día a día subieron, sobre todo por marketing, pero lo más preocupante son los intereses, comisiones y multas, que pasaron de cero en el Período 1 a setecientos doce mil quinientos en el Período 3: plata que se podía evitar. Los costos variables fueron dos millones quinientos quince mil, así que el costo total llegó a cuatro millones quinientos setenta y siete mil. Si lo dividimos por los mil novecientos cincuenta litros vendidos, cada litro nos costó dos mil trescientos cuarenta y ocho pesos, casi el doble de nuestro precio. Otro dato clave: fabricar un litro de postre nos cuesta quinientos pesos, mientras que el yogurt comprado nos cuesta novecientos ochenta y cuatro.</w:t>
      </w:r>
    </w:p>
    <w:p>
      <w:pPr>
        <w:pStyle w:val="Heading2"/>
        <w:keepNext/>
      </w:pPr>
      <w:r>
        <w:t xml:space="preserve">Diapositiva 8 · Resultados en el simulador</w:t>
      </w:r>
    </w:p>
    <w:p>
      <w:pPr>
        <w:keepNext/>
        <w:spacing w:after="80"/>
      </w:pPr>
      <w:r>
        <w:rPr>
          <w:i/>
          <w:iCs/>
          <w:color w:val="C23B5E"/>
          <w:sz w:val="20"/>
          <w:szCs w:val="20"/>
        </w:rPr>
        <w:t xml:space="preserve">Tiempo aproximado: 0:45</w:t>
      </w:r>
    </w:p>
    <w:p>
      <w:pPr>
        <w:jc w:val="both"/>
      </w:pPr>
      <w:r>
        <w:t xml:space="preserve">Estos costos explican los resultados. Perdimos un millón ochocientos mil en el Período 1, dos millones cuatrocientos mil en el Período 2 y dos millones trescientos ochenta mil en el Período 3. En total llevamos seis millones seiscientos ochenta mil de pérdida, más de la mitad del capital inicial. Lo positivo es que la pérdida dejó de crecer. En rentabilidad, el ROA y el ROE pasaron de menos veintitrés a menos setenta y dos por ciento. Son exactamente iguales porque no tenemos deuda: todos los activos están financiados con patrimonio de los socios.</w:t>
      </w:r>
    </w:p>
    <w:p>
      <w:pPr>
        <w:pStyle w:val="Heading2"/>
        <w:keepNext/>
      </w:pPr>
      <w:r>
        <w:t xml:space="preserve">Diapositiva 9 · Inversión, deuda y aporte del equipo</w:t>
      </w:r>
    </w:p>
    <w:p>
      <w:pPr>
        <w:keepNext/>
        <w:spacing w:after="80"/>
      </w:pPr>
      <w:r>
        <w:rPr>
          <w:i/>
          <w:iCs/>
          <w:color w:val="C23B5E"/>
          <w:sz w:val="20"/>
          <w:szCs w:val="20"/>
        </w:rPr>
        <w:t xml:space="preserve">Tiempo aproximado: 0:55</w:t>
      </w:r>
    </w:p>
    <w:p>
      <w:pPr>
        <w:jc w:val="both"/>
      </w:pPr>
      <w:r>
        <w:t xml:space="preserve">En inversión, construimos la fábrica por tres millones con recursos propios y decidimos no pedir préstamos. Fue una decisión segura, pero nos dejó sin respaldo: la caja bajó de diez millones a setecientos sesenta y seis mil, un noventa y dos por ciento menos, y esa es hoy nuestra principal alerta. También tuvimos gastos no planificados, como setecientos cincuenta mil en un local y las multas. Sobre el aporte de cada uno: Álvaro controló la caja y evitó la deuda; Brando subió la publicidad de ciento cincuenta mil a seiscientos mil, aunque no siempre se reflejó en ventas; y Vicente ajustó la producción a la demanda. Siendo autocríticos, al principio nos faltó coordinar producción y ventas.</w:t>
      </w:r>
    </w:p>
    <w:p>
      <w:pPr>
        <w:pStyle w:val="Heading2"/>
        <w:keepNext/>
      </w:pPr>
      <w:r>
        <w:t xml:space="preserve">Diapositiva 10 · Dificultades y aprendizajes</w:t>
      </w:r>
    </w:p>
    <w:p>
      <w:pPr>
        <w:keepNext/>
        <w:spacing w:after="80"/>
      </w:pPr>
      <w:r>
        <w:rPr>
          <w:i/>
          <w:iCs/>
          <w:color w:val="C23B5E"/>
          <w:sz w:val="20"/>
          <w:szCs w:val="20"/>
        </w:rPr>
        <w:t xml:space="preserve">Tiempo aproximado: 0:50</w:t>
      </w:r>
    </w:p>
    <w:p>
      <w:pPr>
        <w:jc w:val="both"/>
      </w:pPr>
      <w:r>
        <w:t xml:space="preserve">Esa falta de coordinación fue nuestra principal dificultad interna: producimos más de lo que vendíamos y se nos vencieron productos por más de un millón en el Período 1. Lo corregimos produciendo según la demanda real y en el Período 3 esa pérdida bajó a menos de quince mil pesos. La dificultad externa fueron los intereses, comisiones y multas, que no entendíamos bien; ahora revisamos cada decisión antes de ingresarla. Nos quedan cuatro aprendizajes: subir precios o bajar costos, evaluar si seguir revendiendo yogurt, cuidar la caja buscando financiamiento o recortando gastos, y seguir produciendo según lo que realmente se vende.</w:t>
      </w:r>
    </w:p>
    <w:p>
      <w:pPr>
        <w:pStyle w:val="Heading2"/>
        <w:keepNext/>
      </w:pPr>
      <w:r>
        <w:t xml:space="preserve">Diapositiva 11 · Teoría y práctica · Conclusiones</w:t>
      </w:r>
    </w:p>
    <w:p>
      <w:pPr>
        <w:keepNext/>
        <w:spacing w:after="80"/>
      </w:pPr>
      <w:r>
        <w:rPr>
          <w:i/>
          <w:iCs/>
          <w:color w:val="C23B5E"/>
          <w:sz w:val="20"/>
          <w:szCs w:val="20"/>
        </w:rPr>
        <w:t xml:space="preserve">Tiempo aproximado: 0:45</w:t>
      </w:r>
    </w:p>
    <w:p>
      <w:pPr>
        <w:jc w:val="both"/>
      </w:pPr>
      <w:r>
        <w:t xml:space="preserve">Para cerrar, vimos la teoría aplicada en la práctica: la diferencia entre costos fijos y variables nos mostró que cobramos menos de lo que cuesta cada litro; entendimos por qué el ROE y el ROA son iguales cuando no hay deuda; y el análisis del sector se reflejó en cada decisión de precio y marketing. En conclusión, nuestros costos superaron lo que vendimos, pero aprendimos a planificar. Nuestros próximos pasos son revisar precios, evitar multas y enfocarnos en los postres de leche. Muchas gracias, quedamos atentos a sus preguntas.</w:t>
      </w:r>
    </w:p>
    <w:p>
      <w:pPr>
        <w:pStyle w:val="Heading1"/>
      </w:pPr>
      <w:r>
        <w:t xml:space="preserve">Consejos para la exposición</w:t>
      </w:r>
    </w:p>
    <w:p>
      <w:pPr>
        <w:pStyle w:val="ListParagraph"/>
        <w:numPr>
          <w:ilvl w:val="0"/>
          <w:numId w:val="2"/>
        </w:numPr>
        <w:spacing w:after="80"/>
      </w:pPr>
      <w:r>
        <w:t xml:space="preserve">Si en el ensayo se pasan de tiempo, recorten primero la diapositiva 4, porque repite ideas de la 3.</w:t>
      </w:r>
    </w:p>
    <w:p>
      <w:pPr>
        <w:pStyle w:val="ListParagraph"/>
        <w:numPr>
          <w:ilvl w:val="0"/>
          <w:numId w:val="2"/>
        </w:numPr>
        <w:spacing w:after="80"/>
      </w:pPr>
      <w:r>
        <w:t xml:space="preserve">En las diapositivas 7 y 8, señalen el gráfico mientras dicen la cifra.</w:t>
      </w:r>
    </w:p>
    <w:p>
      <w:pPr>
        <w:pStyle w:val="ListParagraph"/>
        <w:numPr>
          <w:ilvl w:val="0"/>
          <w:numId w:val="2"/>
        </w:numPr>
        <w:spacing w:after="80"/>
      </w:pPr>
      <w:r>
        <w:t xml:space="preserve">Cronometren al menos un ensayo completo: los tiempos se calcularon según la cantidad de palabras a un ritmo tranquilo.</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5F5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4"/>
        <w:szCs w:val="24"/>
      </w:rPr>
    </w:rPrDefault>
    <w:pPrDefault>
      <w:pPr>
        <w:spacing w:after="160" w:line="32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mbria" w:cs="Cambria" w:eastAsia="Cambria" w:hAnsi="Cambria"/>
      <w:b/>
      <w:bCs/>
      <w:color w:val="3B2420"/>
      <w:sz w:val="44"/>
      <w:szCs w:val="44"/>
    </w:rPr>
  </w:style>
  <w:style w:type="paragraph" w:styleId="Heading1">
    <w:name w:val="Heading 1"/>
    <w:basedOn w:val="Normal"/>
    <w:next w:val="Normal"/>
    <w:qFormat/>
    <w:pPr>
      <w:spacing w:after="140" w:before="320"/>
      <w:outlineLvl w:val="0"/>
    </w:pPr>
    <w:rPr>
      <w:rFonts w:ascii="Cambria" w:cs="Cambria" w:eastAsia="Cambria" w:hAnsi="Cambria"/>
      <w:b/>
      <w:bCs/>
      <w:color w:val="3B2420"/>
      <w:sz w:val="30"/>
      <w:szCs w:val="30"/>
    </w:rPr>
  </w:style>
  <w:style w:type="paragraph" w:styleId="Heading2">
    <w:name w:val="Heading 2"/>
    <w:basedOn w:val="Normal"/>
    <w:next w:val="Normal"/>
    <w:qFormat/>
    <w:pPr>
      <w:spacing w:after="40" w:before="300"/>
      <w:outlineLvl w:val="1"/>
    </w:pPr>
    <w:rPr>
      <w:rFonts w:ascii="Cambria" w:cs="Cambria" w:eastAsia="Cambria" w:hAnsi="Cambria"/>
      <w:b/>
      <w:bCs/>
      <w:color w:val="3B242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2026-09-28T01:39:12.388Z</dcterms:created>
  <dcterms:modified xsi:type="dcterms:W3CDTF">2026-09-28T01:39:12.388Z</dcterms:modified>
</cp:coreProperties>
</file>

<file path=docProps/custom.xml><?xml version="1.0" encoding="utf-8"?>
<Properties xmlns="http://schemas.openxmlformats.org/officeDocument/2006/custom-properties" xmlns:vt="http://schemas.openxmlformats.org/officeDocument/2006/docPropsVTypes"/>
</file>