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Guion – Caso Hermosilla</w:t>
      </w:r>
    </w:p>
    <w:p>
      <w:pPr>
        <w:spacing w:after="300"/>
        <w:jc w:val="center"/>
      </w:pPr>
      <w:r>
        <w:rPr>
          <w:i/>
          <w:iCs/>
          <w:color w:val="555555"/>
        </w:rPr>
        <w:t xml:space="preserve">Ética para el Trabajo · Álvaro Quintero · Víctor Granda · Brando Barreto</w:t>
      </w:r>
    </w:p>
    <w:p>
      <w:pPr>
        <w:pStyle w:val="Heading2"/>
        <w:spacing w:after="80" w:before="240"/>
      </w:pPr>
      <w:r>
        <w:t xml:space="preserve">Lámina 2 – La noticia</w:t>
      </w:r>
    </w:p>
    <w:p>
      <w:pPr>
        <w:spacing w:after="120" w:line="300"/>
      </w:pPr>
      <w:r>
        <w:t xml:space="preserve">En noviembre de 2023 se conoció un audio. En él, el abogado Luis Hermosilla proponía sobornar a funcionarios del SII y la CMF para obtener información sobre la investigación a Daniel Sauer, dueño de Factop y STF Capital. Factop emitió casi 10.000 facturas falsas. Además, la CMF sancionó a STF Capital y el SII presentó una querella en su contra. Este caso muestra cómo decisiones individuales pueden dañar la confianza en todo el sistema financiero.</w:t>
      </w:r>
    </w:p>
    <w:p>
      <w:pPr>
        <w:pStyle w:val="Heading2"/>
        <w:spacing w:after="80" w:before="240"/>
      </w:pPr>
      <w:r>
        <w:t xml:space="preserve">Lámina 3 – El bien común</w:t>
      </w:r>
    </w:p>
    <w:p>
      <w:pPr>
        <w:spacing w:after="120" w:line="300"/>
      </w:pPr>
      <w:r>
        <w:t xml:space="preserve">El bien común se genera cuando cada profesional hace bien su trabajo y cuida la confianza en el sistema. Aquí los involucrados pusieron su beneficio privado primero y dañaron a inversionistas, contribuyentes y al mercado. El fraude transformó un trabajo que debía aportar a la sociedad en una fuente de daño.</w:t>
      </w:r>
    </w:p>
    <w:p>
      <w:pPr>
        <w:pStyle w:val="Heading2"/>
        <w:spacing w:after="80" w:before="240"/>
      </w:pPr>
      <w:r>
        <w:t xml:space="preserve">Lámina 4 – El carácter</w:t>
      </w:r>
    </w:p>
    <w:p>
      <w:pPr>
        <w:spacing w:after="120" w:line="300"/>
      </w:pPr>
      <w:r>
        <w:t xml:space="preserve">El carácter se forma con cada decisión. Los sobornos y las facturas falsas repetidos muestran un carácter que se fue deteriorando. Actuar mal daña a otros y también a quien lo hace. Con el tiempo, lo que parecía una excepción terminó convirtiéndose en costumbre.</w:t>
      </w:r>
    </w:p>
    <w:p>
      <w:pPr>
        <w:pStyle w:val="Heading2"/>
        <w:spacing w:after="80" w:before="240"/>
      </w:pPr>
      <w:r>
        <w:t xml:space="preserve">Lámina 5 – La responsabilidad moral</w:t>
      </w:r>
    </w:p>
    <w:p>
      <w:pPr>
        <w:spacing w:after="120" w:line="300"/>
      </w:pPr>
      <w:r>
        <w:t xml:space="preserve">Somos responsables de lo que hacemos con conocimiento y libertad. Los involucrados sabían que sus actos eran ilegales, así que su responsabilidad es plena y no tiene atenuantes. Conocer el bien y aun así elegir el mal agrava la falta, en vez de disminuirla.</w:t>
      </w:r>
    </w:p>
    <w:p>
      <w:pPr>
        <w:pStyle w:val="Heading2"/>
        <w:spacing w:after="80" w:before="240"/>
      </w:pPr>
      <w:r>
        <w:t xml:space="preserve">Lámina 6 – La ética como mirada integral</w:t>
      </w:r>
    </w:p>
    <w:p>
      <w:pPr>
        <w:spacing w:after="120" w:line="300"/>
      </w:pPr>
      <w:r>
        <w:t xml:space="preserve">La ética abarca toda la vida, no solo el trabajo. No existe una “ética de oficina”: quien actúa mal en el trabajo, actúa mal como persona. En este caso, esas decisiones dañaron tanto su carrera como su integridad. La coherencia entre lo que somos y lo que hacemos es la base de un buen profesional.</w:t>
      </w:r>
    </w:p>
    <w:p>
      <w:pPr>
        <w:pStyle w:val="Heading2"/>
        <w:spacing w:after="80" w:before="240"/>
      </w:pPr>
      <w:r>
        <w:t xml:space="preserve">Lámina 7 – Reflexión final</w:t>
      </w:r>
    </w:p>
    <w:p>
      <w:pPr>
        <w:spacing w:after="120" w:line="300"/>
      </w:pPr>
      <w:r>
        <w:t xml:space="preserve">Los involucrados eligieron “tener más” en vez de “ser más”. Como futuros profesionales de finanzas, debemos actuar con prudencia y verdad, aunque eso tenga un costo. La verdadera excelencia profesional no se mide solo por los resultados, sino por la forma en que se logran. Muchas gracias.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2026-09-23T18:27:38.346Z</dcterms:created>
  <dcterms:modified xsi:type="dcterms:W3CDTF">2026-09-23T18:27:38.356Z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