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MIMIC-IV study population stratified by PMV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50,685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49,620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65.00 [53.00, 77.00]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65.00 [53.00, 77.00]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64.00 [51.00, 74.00]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 (male) = M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28306 (55.8)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27662 (55.7)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644 (60.5)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0.002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6.49 [3.83, 11.00]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6.32 [3.78, 10.65]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26.65 [19.62, 37.55]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1.99 [1.12, 3.97]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1.95 [1.11, 3.77]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21.78 [16.60, 30.15]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5130 (10.1)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4865 ( 9.8)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265 (24.9)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4108 ( 8.1)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3878 ( 7.8)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230 (21.6)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30-day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6491 (12.8)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6295 (12.7)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196 (18.4)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1-year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12415 (24.5)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11917 (24.0)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498 (46.8)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TBI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2777 ( 5.5)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2655 ( 5.4)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122 (11.5)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Trauma-related cohort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non-trauma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44738 (88.3)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43901 (88.5)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837 (78.6)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non-TBI trauma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3170 ( 6.3)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3064 ( 6.2)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106 (10.0)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non-severe TBI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2127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2090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37 ( 3.5)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severe TBI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650 ( 1.3)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565 ( 1.1)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85 ( 8.0)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Consecutive days with ≥6h IMV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0.00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0.00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17.00 [14.00, 22.00]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≥14 consecutive days of IMV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899 ( 1.8)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  0 ( 0.0)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899 (84.4)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96h of IMV + Traq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397 ( 0.8)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  0 ( 0.0)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397 (37.3)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37.00 [28.00,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37.00 [28.00,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55.00 [40.00, 72.00]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4.00 [2.00, 7.00]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4.00 [2.00, 7.00]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4.00 [3.00, 6.00]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0.937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2025-06-30T15:13:54Z</dcterms:modified>
  <cp:category/>
</cp:coreProperties>
</file>