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Baseline characteristics of the eICU non-trauma patient subset, stratified by PMV status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PMV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151,686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148,277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3,409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Age (years)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65.00 [53.00, 76.00]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65.00 [53.00, 76.00]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63.00 [53.00, 72.00]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ICU stay (days)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1.85 [0.99, 3.57]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1.82 [0.98, 3.32]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17.50 [13.75, 24.06]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Hospital Mortality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13661 (9.0)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12995 (8.8)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666 (19.5)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APS score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38.00 [27.00, 53.00]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37.00 [27.00, 53.00]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58.00 [41.00, 79.00]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Charlson score (median [IQR])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4.00 [2.00, 5.00]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4.00 [2.00, 5.00]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3.00 [2.00, 5.00]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0.004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2025-06-26T19:46:47Z</dcterms:modified>
  <cp:category/>
</cp:coreProperties>
</file>