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the eICU severe TBI patient subset, stratified by PMV status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934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 (years)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55.00 [34.00, 74.00]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55.00 [34.00, 76.00]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48.50 [31.25, 66.75]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3.98 [1.62, 10.58]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3.04 [1.46, 7.19]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19.46 [14.97, 26.04]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373 (34.3)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356 (38.1)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17 (11.0)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APS 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68.00 [49.00, 85.00]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68.00 [48.25, 85.00]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69.00 [49.25, 86.75]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0.736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Charlson score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1.00 [0.00, 4.00]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2.00 [0.00, 4.00]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1.00 [0.00, 2.00]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2025-06-26T19:46:50Z</dcterms:modified>
  <cp:category/>
</cp:coreProperties>
</file>