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MIMIC-IV non-TBI trauma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3,170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65.00 [48.00, 80.00]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65.00 [48.00, 80.00]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59.50 [49.25, 74.00]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0.082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1.98 [1.06, 4.31]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1.91 [1.04, 3.93]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20.72 [15.72, 29.19]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294 ( 9.3)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276 ( 9.0)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18 (17.0)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0.009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1-year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770 (24.3)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732 (23.9)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38 (35.8)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0.007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38.00 [29.00, 51.00]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38.00 [28.00,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53.00 [39.00, 70.25]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4.00 [1.00, 6.00]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4.00 [1.00, 6.00]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0.480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2025-06-26T19:19:27Z</dcterms:modified>
  <cp:category/>
</cp:coreProperties>
</file>