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MIMIC-IV non-trauma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44,738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43,901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65.00 [54.00, 76.00]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65.00 [54.00, 76.00]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64.00 [53.00, 74.00]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0.050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1.99 [1.13, 3.91]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1.95 [1.12, 3.74]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22.68 [17.12, 30.89]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4488 (10.0)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4252 ( 9.7)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236 (28.2)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1-year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10947 (24.5)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10517 (24.0)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430 (51.4)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37.00 [28.00, 51.00]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37.00 [28.00,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56.00 [42.00, 74.00]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4.00 [2.00, 7.00]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4.00 [2.00, 7.00]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5.00 [3.00, 7.00]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0.010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2025-06-26T19:12:56Z</dcterms:modified>
  <cp:category/>
</cp:coreProperties>
</file>