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Baseline characteristics of the MIMIC-IV severe TBI patient subset, stratified by PMV status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PMV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650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 (years)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60.00 [38.00, 79.00]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61.00 [40.00, 80.00]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48.00 [28.00, 72.00]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0.001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ICU stay (days)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4.06 [1.71, 10.44]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3.35 [1.48, 7.32]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17.64 [13.29, 22.76]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 Mortality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257 (39.5)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247 (43.7)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10 (11.8)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1-year Mortality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334 (51.4)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312 (55.2)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22 (25.9)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APS score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43.00 [31.00, 60.00]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43.00 [30.00, 60.00]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43.00 [32.00, 60.00]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0.558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Charlson score (median [IQR])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2.00 [0.00, 5.00]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3.00 [0.00, 5.00]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2.00 [0.00, 4.00]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0.035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2025-06-26T19:20:36Z</dcterms:modified>
  <cp:category/>
</cp:coreProperties>
</file>