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Baseline characteristics of MIMIC-IV study population stratified by PMV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PMV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50,685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(years)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65.00 [53.00, 77.00]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65.00 [53.00, 77.00]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64.00 [51.00, 74.00]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(male) = M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28306 (55.8)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27662 (55.7)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644 (60.5)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6.49 [3.83, 11.00]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6.32 [3.78, 10.65]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26.65 [19.62, 37.55]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1.99 [1.12, 3.97]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1.95 [1.11, 3.77]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21.78 [16.60, 30.15]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5130 (10.1)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4865 ( 9.8)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265 (24.9)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4108 ( 8.1)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3878 ( 7.8)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230 (21.6)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30-day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6491 (12.8)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6295 (12.7)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196 (18.4)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1-year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12415 (24.5)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11917 (24.0)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498 (46.8)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TBI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2777 ( 5.5)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2655 ( 5.4)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 (11.5)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Trauma-related cohort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44738 (88.3)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43901 (88.5)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837 (78.6)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non-TBI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3170 ( 6.3)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3064 ( 6.2)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 (10.0)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non-severe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2127 ( 4.2)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2090 ( 4.2)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 ( 3.5)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severe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650 ( 1.3)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565 ( 1.1)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85 ( 8.0)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Consecutive days with ≥6h IMV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17.00 [14.00, 22.00]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≥14 consecutive days of IMV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899 ( 1.8)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899 (84.4)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96h of IMV + Traq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397 ( 0.8)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397 (37.3)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APS score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37.00 [28.00, 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37.00 [28.00, 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55.00 [40.00, 72.00]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Charlson score (median [IQR])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4.00 [2.00, 7.00]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4.00 [2.00, 7.00]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4.00 [3.00, 6.00]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2025-01-31T16:58:29Z</dcterms:modified>
  <cp:category/>
</cp:coreProperties>
</file>