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0"/>
      </w:pPr>
    </w:p>
    <w:p>
      <w:pPr>
        <w:spacing w:after="120" w:before="0" w:line="276"/>
        <w:jc w:val="center"/>
      </w:pPr>
      <w:r>
        <w:rPr>
          <w:rFonts w:ascii="Calibri" w:cs="Calibri" w:eastAsia="Calibri" w:hAnsi="Calibri"/>
          <w:b/>
          <w:bCs/>
          <w:i w:val="false"/>
          <w:iCs w:val="false"/>
          <w:color w:val="64748B"/>
          <w:sz w:val="20"/>
          <w:szCs w:val="20"/>
        </w:rPr>
        <w:t xml:space="preserve">TOURS PANASUR E.I.R.L.</w:t>
      </w:r>
    </w:p>
    <w:p>
      <w:pPr>
        <w:spacing w:after="200" w:before="0" w:line="276"/>
        <w:jc w:val="center"/>
      </w:pPr>
      <w:r>
        <w:rPr>
          <w:rFonts w:ascii="Calibri" w:cs="Calibri" w:eastAsia="Calibri" w:hAnsi="Calibri"/>
          <w:b w:val="false"/>
          <w:bCs w:val="false"/>
          <w:i w:val="false"/>
          <w:iCs w:val="false"/>
          <w:color w:val="64748B"/>
          <w:sz w:val="16"/>
          <w:szCs w:val="16"/>
        </w:rPr>
        <w:t xml:space="preserve">RUC: 20259263230</w:t>
      </w:r>
    </w:p>
    <w:p>
      <w:pPr>
        <w:spacing w:before="150" w:after="0"/>
      </w:pPr>
    </w:p>
    <w:p>
      <w:pPr>
        <w:spacing w:after="200" w:before="0" w:line="276"/>
        <w:jc w:val="center"/>
      </w:pPr>
      <w:r>
        <w:rPr>
          <w:rFonts w:ascii="Calibri" w:cs="Calibri" w:eastAsia="Calibri" w:hAnsi="Calibri"/>
          <w:b/>
          <w:bCs/>
          <w:i w:val="false"/>
          <w:iCs w:val="false"/>
          <w:color w:val="1a6b4e"/>
          <w:sz w:val="32"/>
          <w:szCs w:val="32"/>
        </w:rPr>
        <w:t xml:space="preserve">PROCEDIMIENTO DE GESTION DEL CAMBIO</w:t>
      </w:r>
    </w:p>
    <w:p>
      <w:pPr>
        <w:spacing w:before="100" w:after="0"/>
      </w:pPr>
    </w:p>
    <w:p>
      <w:pPr>
        <w:spacing w:after="120" w:before="0" w:line="276"/>
        <w:jc w:val="center"/>
      </w:pPr>
      <w:r>
        <w:rPr>
          <w:rFonts w:ascii="Calibri" w:cs="Calibri" w:eastAsia="Calibri" w:hAnsi="Calibri"/>
          <w:b w:val="false"/>
          <w:bCs w:val="false"/>
          <w:i/>
          <w:iCs/>
          <w:color w:val="64748B"/>
          <w:sz w:val="18"/>
          <w:szCs w:val="18"/>
        </w:rPr>
        <w:t xml:space="preserve">Area: SIG | Normas: ISO 45001:2018 (8.1.3), ISO 14001:2015 (8.1), ISO 9001:2015 (6.3)</w:t>
      </w:r>
    </w:p>
    <w:p>
      <w:pPr>
        <w:spacing w:before="4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Codigo</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TP-PRO-SIG-005</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Version</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1.0</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Fecha de Emision</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08 de Marzo de 2026</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Elaborado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INNOVAQ SOLUTIONS SAC</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Revisado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Giancarlo Huamani Calero — Ing. SST</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Aprobado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Timoteo Huamani — Gerente General</w:t>
            </w:r>
          </w:p>
        </w:tc>
      </w:tr>
    </w:tbl>
    <w:p>
      <w:r>
        <w:br w:type="page"/>
      </w:r>
    </w:p>
    <w:p>
      <w:pPr>
        <w:pStyle w:val="Heading1"/>
        <w:spacing w:before="360" w:after="200"/>
      </w:pPr>
      <w:r>
        <w:rPr>
          <w:rFonts w:ascii="Calibri" w:cs="Calibri" w:eastAsia="Calibri" w:hAnsi="Calibri"/>
          <w:b/>
          <w:bCs/>
          <w:color w:val="1a6b4e"/>
          <w:sz w:val="30"/>
          <w:szCs w:val="30"/>
        </w:rPr>
        <w:t xml:space="preserve">Control de Cambios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5826"/>
        <w:gridCol w:w="1500"/>
      </w:tblGrid>
      <w:tr>
        <w:tc>
          <w:tcPr>
            <w:tcW w:type="dxa" w:w="6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Ver.</w:t>
            </w:r>
          </w:p>
        </w:tc>
        <w:tc>
          <w:tcPr>
            <w:tcW w:type="dxa" w:w="11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Fecha</w:t>
            </w:r>
          </w:p>
        </w:tc>
        <w:tc>
          <w:tcPr>
            <w:tcW w:type="dxa" w:w="5826"/>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Descripcion</w:t>
            </w:r>
          </w:p>
        </w:tc>
        <w:tc>
          <w:tcPr>
            <w:tcW w:type="dxa" w:w="15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Responsable</w:t>
            </w:r>
          </w:p>
        </w:tc>
      </w:tr>
      <w:tr>
        <w:tc>
          <w:tcPr>
            <w:tcW w:type="dxa" w:w="6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1.0</w:t>
            </w:r>
          </w:p>
        </w:tc>
        <w:tc>
          <w:tcPr>
            <w:tcW w:type="dxa" w:w="11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08/03/2026</w:t>
            </w:r>
          </w:p>
        </w:tc>
        <w:tc>
          <w:tcPr>
            <w:tcW w:type="dxa" w:w="58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Emision inicial</w:t>
            </w:r>
          </w:p>
        </w:tc>
        <w:tc>
          <w:tcPr>
            <w:tcW w:type="dxa" w:w="15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INNOVAQ SOLUTIONS</w:t>
            </w:r>
          </w:p>
        </w:tc>
      </w:tr>
    </w:tbl>
    <w:p>
      <w:r>
        <w:br w:type="page"/>
      </w:r>
    </w:p>
    <w:p>
      <w:pPr>
        <w:pStyle w:val="Heading1"/>
        <w:spacing w:before="360" w:after="200"/>
      </w:pPr>
      <w:r>
        <w:rPr>
          <w:rFonts w:ascii="Calibri" w:cs="Calibri" w:eastAsia="Calibri" w:hAnsi="Calibri"/>
          <w:b/>
          <w:bCs/>
          <w:color w:val="1a6b4e"/>
          <w:sz w:val="30"/>
          <w:szCs w:val="30"/>
        </w:rPr>
        <w:t xml:space="preserve">1. Objetivo</w:t>
      </w:r>
    </w:p>
    <w:p>
      <w:pPr>
        <w:spacing w:after="120" w:before="0" w:line="276"/>
        <w:jc w:val="both"/>
      </w:pPr>
      <w:r>
        <w:rPr>
          <w:rFonts w:ascii="Calibri" w:cs="Calibri" w:eastAsia="Calibri" w:hAnsi="Calibri"/>
          <w:b w:val="false"/>
          <w:bCs w:val="false"/>
          <w:i w:val="false"/>
          <w:iCs w:val="false"/>
          <w:color w:val="1E293B"/>
          <w:sz w:val="20"/>
          <w:szCs w:val="20"/>
        </w:rPr>
        <w:t xml:space="preserve">Definir la metodologia para identificar, evaluar, planificar e implementar de forma controlada los cambios que puedan afectar al SIG de Tours Panasur, minimizando los riesgos asociados y asegurando la continuidad del cumplimiento normativo.</w:t>
      </w:r>
    </w:p>
    <w:p>
      <w:pPr>
        <w:pStyle w:val="Heading1"/>
        <w:spacing w:before="360" w:after="200"/>
      </w:pPr>
      <w:r>
        <w:rPr>
          <w:rFonts w:ascii="Calibri" w:cs="Calibri" w:eastAsia="Calibri" w:hAnsi="Calibri"/>
          <w:b/>
          <w:bCs/>
          <w:color w:val="1a6b4e"/>
          <w:sz w:val="30"/>
          <w:szCs w:val="30"/>
        </w:rPr>
        <w:t xml:space="preserve">2. Alcance</w:t>
      </w:r>
    </w:p>
    <w:p>
      <w:pPr>
        <w:spacing w:after="120" w:before="0" w:line="276"/>
        <w:jc w:val="both"/>
      </w:pPr>
      <w:r>
        <w:rPr>
          <w:rFonts w:ascii="Calibri" w:cs="Calibri" w:eastAsia="Calibri" w:hAnsi="Calibri"/>
          <w:b w:val="false"/>
          <w:bCs w:val="false"/>
          <w:i w:val="false"/>
          <w:iCs w:val="false"/>
          <w:color w:val="1E293B"/>
          <w:sz w:val="20"/>
          <w:szCs w:val="20"/>
        </w:rPr>
        <w:t xml:space="preserve">Aplica a todos los cambios planificados y no planificados que afecten procesos, actividades, organizacion, condiciones de trabajo, equipos, materiales, rutas, proyectos, requisitos legales o de clientes.</w:t>
      </w:r>
    </w:p>
    <w:p>
      <w:pPr>
        <w:pStyle w:val="Heading1"/>
        <w:spacing w:before="360" w:after="200"/>
      </w:pPr>
      <w:r>
        <w:rPr>
          <w:rFonts w:ascii="Calibri" w:cs="Calibri" w:eastAsia="Calibri" w:hAnsi="Calibri"/>
          <w:b/>
          <w:bCs/>
          <w:color w:val="1a6b4e"/>
          <w:sz w:val="30"/>
          <w:szCs w:val="30"/>
        </w:rPr>
        <w:t xml:space="preserve">3. Referencias Normativas</w:t>
      </w:r>
    </w:p>
    <w:p>
      <w:pPr>
        <w:spacing w:after="120" w:before="0" w:line="276"/>
        <w:jc w:val="both"/>
      </w:pPr>
      <w:r>
        <w:rPr>
          <w:rFonts w:ascii="Calibri" w:cs="Calibri" w:eastAsia="Calibri" w:hAnsi="Calibri"/>
          <w:b w:val="false"/>
          <w:bCs w:val="false"/>
          <w:i w:val="false"/>
          <w:iCs w:val="false"/>
          <w:color w:val="1E293B"/>
          <w:sz w:val="20"/>
          <w:szCs w:val="20"/>
        </w:rPr>
        <w:t xml:space="preserve">ISO 45001:2018 (8.1.3), ISO 14001:2015 (8.1), ISO 9001:2015 (6.3)</w:t>
      </w:r>
    </w:p>
    <w:p>
      <w:pPr>
        <w:pStyle w:val="Heading1"/>
        <w:spacing w:before="360" w:after="200"/>
      </w:pPr>
      <w:r>
        <w:rPr>
          <w:rFonts w:ascii="Calibri" w:cs="Calibri" w:eastAsia="Calibri" w:hAnsi="Calibri"/>
          <w:b/>
          <w:bCs/>
          <w:color w:val="1a6b4e"/>
          <w:sz w:val="30"/>
          <w:szCs w:val="30"/>
        </w:rPr>
        <w:t xml:space="preserve">4. Definiciones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Termino</w:t>
            </w:r>
          </w:p>
        </w:tc>
        <w:tc>
          <w:tcPr>
            <w:tcW w:type="dxa" w:w="6526"/>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Definicion</w:t>
            </w:r>
          </w:p>
        </w:tc>
      </w:tr>
      <w:tr>
        <w:tc>
          <w:tcPr>
            <w:tcW w:type="dxa" w:w="25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Cambio Planificado</w:t>
            </w:r>
          </w:p>
        </w:tc>
        <w:tc>
          <w:tcPr>
            <w:tcW w:type="dxa" w:w="65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Modificacion intencional y controlada de un proceso, actividad o condicion del SIG.</w:t>
            </w:r>
          </w:p>
        </w:tc>
      </w:tr>
      <w:tr>
        <w:tc>
          <w:tcPr>
            <w:tcW w:type="dxa" w:w="25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Cambio No Planificado</w:t>
            </w:r>
          </w:p>
        </w:tc>
        <w:tc>
          <w:tcPr>
            <w:tcW w:type="dxa" w:w="652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Modificacion que ocurre sin planificacion previa (emergencia, falla, nuevo requisito de cliente urgente).</w:t>
            </w:r>
          </w:p>
        </w:tc>
      </w:tr>
      <w:tr>
        <w:tc>
          <w:tcPr>
            <w:tcW w:type="dxa" w:w="25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Evaluacion de Impacto</w:t>
            </w:r>
          </w:p>
        </w:tc>
        <w:tc>
          <w:tcPr>
            <w:tcW w:type="dxa" w:w="65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Analisis de como el cambio afecta a los riesgos, aspectos ambientales, documentacion y cumplimiento del SIG.</w:t>
            </w:r>
          </w:p>
        </w:tc>
      </w:tr>
    </w:tbl>
    <w:p>
      <w:r>
        <w:br w:type="page"/>
      </w:r>
    </w:p>
    <w:p>
      <w:pPr>
        <w:pStyle w:val="Heading1"/>
        <w:spacing w:before="360" w:after="200"/>
      </w:pPr>
      <w:r>
        <w:rPr>
          <w:rFonts w:ascii="Calibri" w:cs="Calibri" w:eastAsia="Calibri" w:hAnsi="Calibri"/>
          <w:b/>
          <w:bCs/>
          <w:color w:val="1a6b4e"/>
          <w:sz w:val="30"/>
          <w:szCs w:val="30"/>
        </w:rPr>
        <w:t xml:space="preserve">5. Responsabilidades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Rol</w:t>
            </w:r>
          </w:p>
        </w:tc>
        <w:tc>
          <w:tcPr>
            <w:tcW w:type="dxa" w:w="6526"/>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6"/>
                <w:szCs w:val="16"/>
              </w:rPr>
              <w:t xml:space="preserve">Responsabilidad</w:t>
            </w:r>
          </w:p>
        </w:tc>
      </w:tr>
      <w:tr>
        <w:tc>
          <w:tcPr>
            <w:tcW w:type="dxa" w:w="25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Gerente General</w:t>
            </w:r>
          </w:p>
        </w:tc>
        <w:tc>
          <w:tcPr>
            <w:tcW w:type="dxa" w:w="65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Aprobar cambios de alto impacto (nuevos proyectos, nuevas rutas, cambio de flota, cambio organizacional).</w:t>
            </w:r>
          </w:p>
        </w:tc>
      </w:tr>
      <w:tr>
        <w:tc>
          <w:tcPr>
            <w:tcW w:type="dxa" w:w="25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Ing. SST</w:t>
            </w:r>
          </w:p>
        </w:tc>
        <w:tc>
          <w:tcPr>
            <w:tcW w:type="dxa" w:w="652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Evaluar el impacto en SST y ambiental de todo cambio. Actualizar IPERC y IAIA si aplica.</w:t>
            </w:r>
          </w:p>
        </w:tc>
      </w:tr>
      <w:tr>
        <w:tc>
          <w:tcPr>
            <w:tcW w:type="dxa" w:w="25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Solicitante del Cambio</w:t>
            </w:r>
          </w:p>
        </w:tc>
        <w:tc>
          <w:tcPr>
            <w:tcW w:type="dxa" w:w="65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Documentar la solicitud en el formato correspondiente con justificacion.</w:t>
            </w:r>
          </w:p>
        </w:tc>
      </w:tr>
    </w:tbl>
    <w:p>
      <w:r>
        <w:br w:type="page"/>
      </w:r>
    </w:p>
    <w:p>
      <w:pPr>
        <w:pStyle w:val="Heading1"/>
        <w:spacing w:before="360" w:after="200"/>
      </w:pPr>
      <w:r>
        <w:rPr>
          <w:rFonts w:ascii="Calibri" w:cs="Calibri" w:eastAsia="Calibri" w:hAnsi="Calibri"/>
          <w:b/>
          <w:bCs/>
          <w:color w:val="1a6b4e"/>
          <w:sz w:val="30"/>
          <w:szCs w:val="30"/>
        </w:rPr>
        <w:t xml:space="preserve">6. Descripcion del Procedimiento</w:t>
      </w:r>
    </w:p>
    <w:p>
      <w:pPr>
        <w:pStyle w:val="Heading2"/>
        <w:spacing w:before="240" w:after="160"/>
      </w:pPr>
      <w:r>
        <w:rPr>
          <w:rFonts w:ascii="Calibri" w:cs="Calibri" w:eastAsia="Calibri" w:hAnsi="Calibri"/>
          <w:b/>
          <w:bCs/>
          <w:color w:val="1a6b4e"/>
          <w:sz w:val="24"/>
          <w:szCs w:val="24"/>
        </w:rPr>
        <w:t xml:space="preserve">6.1 Identificacion del Cambio</w:t>
      </w:r>
    </w:p>
    <w:p>
      <w:pPr>
        <w:spacing w:after="120" w:before="0" w:line="276"/>
        <w:jc w:val="both"/>
      </w:pPr>
      <w:r>
        <w:rPr>
          <w:rFonts w:ascii="Calibri" w:cs="Calibri" w:eastAsia="Calibri" w:hAnsi="Calibri"/>
          <w:b w:val="false"/>
          <w:bCs w:val="false"/>
          <w:i w:val="false"/>
          <w:iCs w:val="false"/>
          <w:color w:val="1E293B"/>
          <w:sz w:val="20"/>
          <w:szCs w:val="20"/>
        </w:rPr>
        <w:t xml:space="preserve">El solicitante identifica la necesidad de cambio y documenta: que cambia, por que, cuando, alcance del impacto esperado.</w:t>
      </w:r>
    </w:p>
    <w:p>
      <w:pPr>
        <w:pStyle w:val="Heading2"/>
        <w:spacing w:before="240" w:after="160"/>
      </w:pPr>
      <w:r>
        <w:rPr>
          <w:rFonts w:ascii="Calibri" w:cs="Calibri" w:eastAsia="Calibri" w:hAnsi="Calibri"/>
          <w:b/>
          <w:bCs/>
          <w:color w:val="1a6b4e"/>
          <w:sz w:val="24"/>
          <w:szCs w:val="24"/>
        </w:rPr>
        <w:t xml:space="preserve">6.2 Evaluacion de Impacto</w:t>
      </w:r>
    </w:p>
    <w:p>
      <w:pPr>
        <w:spacing w:after="120" w:before="0" w:line="276"/>
        <w:jc w:val="both"/>
      </w:pPr>
      <w:r>
        <w:rPr>
          <w:rFonts w:ascii="Calibri" w:cs="Calibri" w:eastAsia="Calibri" w:hAnsi="Calibri"/>
          <w:b w:val="false"/>
          <w:bCs w:val="false"/>
          <w:i w:val="false"/>
          <w:iCs w:val="false"/>
          <w:color w:val="1E293B"/>
          <w:sz w:val="20"/>
          <w:szCs w:val="20"/>
        </w:rPr>
        <w:t xml:space="preserve">El Ing. SST evalua: Impacto en SST (nuevos peligros, cambios en IPERC), Impacto ambiental (nuevos aspectos, cambios en IAIA), Impacto en calidad (cambios en procesos operativos), Impacto legal (nuevos requisitos aplicables), Impacto en documentacion (procedimientos a actualizar).</w:t>
      </w:r>
    </w:p>
    <w:p>
      <w:pPr>
        <w:pStyle w:val="Heading2"/>
        <w:spacing w:before="240" w:after="160"/>
      </w:pPr>
      <w:r>
        <w:rPr>
          <w:rFonts w:ascii="Calibri" w:cs="Calibri" w:eastAsia="Calibri" w:hAnsi="Calibri"/>
          <w:b/>
          <w:bCs/>
          <w:color w:val="1a6b4e"/>
          <w:sz w:val="24"/>
          <w:szCs w:val="24"/>
        </w:rPr>
        <w:t xml:space="preserve">6.3 Planificacion</w:t>
      </w:r>
    </w:p>
    <w:p>
      <w:pPr>
        <w:spacing w:after="120" w:before="0" w:line="276"/>
        <w:jc w:val="both"/>
      </w:pPr>
      <w:r>
        <w:rPr>
          <w:rFonts w:ascii="Calibri" w:cs="Calibri" w:eastAsia="Calibri" w:hAnsi="Calibri"/>
          <w:b w:val="false"/>
          <w:bCs w:val="false"/>
          <w:i w:val="false"/>
          <w:iCs w:val="false"/>
          <w:color w:val="1E293B"/>
          <w:sz w:val="20"/>
          <w:szCs w:val="20"/>
        </w:rPr>
        <w:t xml:space="preserve">Se define: acciones para gestionar el cambio, responsables, cronograma, recursos necesarios, comunicacion a partes interesadas, capacitacion requerida, documentos a actualizar.</w:t>
      </w:r>
    </w:p>
    <w:p>
      <w:pPr>
        <w:pStyle w:val="Heading2"/>
        <w:spacing w:before="240" w:after="160"/>
      </w:pPr>
      <w:r>
        <w:rPr>
          <w:rFonts w:ascii="Calibri" w:cs="Calibri" w:eastAsia="Calibri" w:hAnsi="Calibri"/>
          <w:b/>
          <w:bCs/>
          <w:color w:val="1a6b4e"/>
          <w:sz w:val="24"/>
          <w:szCs w:val="24"/>
        </w:rPr>
        <w:t xml:space="preserve">6.4 Aprobacion</w:t>
      </w:r>
    </w:p>
    <w:p>
      <w:pPr>
        <w:spacing w:after="120" w:before="0" w:line="276"/>
        <w:jc w:val="both"/>
      </w:pPr>
      <w:r>
        <w:rPr>
          <w:rFonts w:ascii="Calibri" w:cs="Calibri" w:eastAsia="Calibri" w:hAnsi="Calibri"/>
          <w:b w:val="false"/>
          <w:bCs w:val="false"/>
          <w:i w:val="false"/>
          <w:iCs w:val="false"/>
          <w:color w:val="1E293B"/>
          <w:sz w:val="20"/>
          <w:szCs w:val="20"/>
        </w:rPr>
        <w:t xml:space="preserve">Segun nivel de impacto: Alto (Gerente General), Medio (Ing. SST), Bajo (Responsable de area).</w:t>
      </w:r>
    </w:p>
    <w:p>
      <w:pPr>
        <w:pStyle w:val="Heading2"/>
        <w:spacing w:before="240" w:after="160"/>
      </w:pPr>
      <w:r>
        <w:rPr>
          <w:rFonts w:ascii="Calibri" w:cs="Calibri" w:eastAsia="Calibri" w:hAnsi="Calibri"/>
          <w:b/>
          <w:bCs/>
          <w:color w:val="1a6b4e"/>
          <w:sz w:val="24"/>
          <w:szCs w:val="24"/>
        </w:rPr>
        <w:t xml:space="preserve">6.5 Implementacion</w:t>
      </w:r>
    </w:p>
    <w:p>
      <w:pPr>
        <w:spacing w:after="120" w:before="0" w:line="276"/>
        <w:jc w:val="both"/>
      </w:pPr>
      <w:r>
        <w:rPr>
          <w:rFonts w:ascii="Calibri" w:cs="Calibri" w:eastAsia="Calibri" w:hAnsi="Calibri"/>
          <w:b w:val="false"/>
          <w:bCs w:val="false"/>
          <w:i w:val="false"/>
          <w:iCs w:val="false"/>
          <w:color w:val="1E293B"/>
          <w:sz w:val="20"/>
          <w:szCs w:val="20"/>
        </w:rPr>
        <w:t xml:space="preserve">Se ejecutan las acciones planificadas. Se actualiza documentacion del SIG (IPERC, IAIA, procedimientos, PETS). Se capacita al personal afectado.</w:t>
      </w:r>
    </w:p>
    <w:p>
      <w:pPr>
        <w:pStyle w:val="Heading2"/>
        <w:spacing w:before="240" w:after="160"/>
      </w:pPr>
      <w:r>
        <w:rPr>
          <w:rFonts w:ascii="Calibri" w:cs="Calibri" w:eastAsia="Calibri" w:hAnsi="Calibri"/>
          <w:b/>
          <w:bCs/>
          <w:color w:val="1a6b4e"/>
          <w:sz w:val="24"/>
          <w:szCs w:val="24"/>
        </w:rPr>
        <w:t xml:space="preserve">6.6 Verificacion</w:t>
      </w:r>
    </w:p>
    <w:p>
      <w:pPr>
        <w:spacing w:after="120" w:before="0" w:line="276"/>
        <w:jc w:val="both"/>
      </w:pPr>
      <w:r>
        <w:rPr>
          <w:rFonts w:ascii="Calibri" w:cs="Calibri" w:eastAsia="Calibri" w:hAnsi="Calibri"/>
          <w:b w:val="false"/>
          <w:bCs w:val="false"/>
          <w:i w:val="false"/>
          <w:iCs w:val="false"/>
          <w:color w:val="1E293B"/>
          <w:sz w:val="20"/>
          <w:szCs w:val="20"/>
        </w:rPr>
        <w:t xml:space="preserve">Se verifica que el cambio se implemento correctamente y no genero nuevos riesgos no previstos. Si se detectan desviaciones, se aplica TP-PRO-SIG-002.</w:t>
      </w:r>
    </w:p>
    <w:p>
      <w:r>
        <w:br w:type="page"/>
      </w:r>
    </w:p>
    <w:p>
      <w:pPr>
        <w:pStyle w:val="Heading1"/>
        <w:spacing w:before="360" w:after="200"/>
      </w:pPr>
      <w:r>
        <w:rPr>
          <w:rFonts w:ascii="Calibri" w:cs="Calibri" w:eastAsia="Calibri" w:hAnsi="Calibri"/>
          <w:b/>
          <w:bCs/>
          <w:color w:val="1a6b4e"/>
          <w:sz w:val="30"/>
          <w:szCs w:val="30"/>
        </w:rPr>
        <w:t xml:space="preserve">7. Registros Asociados</w:t>
      </w:r>
    </w:p>
    <w:p>
      <w:pPr>
        <w:spacing w:after="120" w:before="40" w:line="276"/>
        <w:jc w:val="both"/>
      </w:pPr>
      <w:r>
        <w:rPr>
          <w:rFonts w:ascii="Calibri" w:cs="Calibri" w:eastAsia="Calibri" w:hAnsi="Calibri"/>
          <w:b w:val="false"/>
          <w:bCs w:val="false"/>
          <w:i w:val="false"/>
          <w:iCs w:val="false"/>
          <w:color w:val="1E293B"/>
          <w:sz w:val="20"/>
          <w:szCs w:val="20"/>
        </w:rPr>
        <w:t xml:space="preserve">- Solicitud de Gestion del Cambio</w:t>
      </w:r>
    </w:p>
    <w:p>
      <w:pPr>
        <w:spacing w:after="120" w:before="40" w:line="276"/>
        <w:jc w:val="both"/>
      </w:pPr>
      <w:r>
        <w:rPr>
          <w:rFonts w:ascii="Calibri" w:cs="Calibri" w:eastAsia="Calibri" w:hAnsi="Calibri"/>
          <w:b w:val="false"/>
          <w:bCs w:val="false"/>
          <w:i w:val="false"/>
          <w:iCs w:val="false"/>
          <w:color w:val="1E293B"/>
          <w:sz w:val="20"/>
          <w:szCs w:val="20"/>
        </w:rPr>
        <w:t xml:space="preserve">- Evaluacion de Impacto</w:t>
      </w:r>
    </w:p>
    <w:p>
      <w:pPr>
        <w:spacing w:after="120" w:before="40" w:line="276"/>
        <w:jc w:val="both"/>
      </w:pPr>
      <w:r>
        <w:rPr>
          <w:rFonts w:ascii="Calibri" w:cs="Calibri" w:eastAsia="Calibri" w:hAnsi="Calibri"/>
          <w:b w:val="false"/>
          <w:bCs w:val="false"/>
          <w:i w:val="false"/>
          <w:iCs w:val="false"/>
          <w:color w:val="1E293B"/>
          <w:sz w:val="20"/>
          <w:szCs w:val="20"/>
        </w:rPr>
        <w:t xml:space="preserve">- Registro de actualizacion de IPERC/IAIA</w:t>
      </w:r>
    </w:p>
    <w:p>
      <w:pPr>
        <w:spacing w:after="120" w:before="40" w:line="276"/>
        <w:jc w:val="both"/>
      </w:pPr>
      <w:r>
        <w:rPr>
          <w:rFonts w:ascii="Calibri" w:cs="Calibri" w:eastAsia="Calibri" w:hAnsi="Calibri"/>
          <w:b w:val="false"/>
          <w:bCs w:val="false"/>
          <w:i w:val="false"/>
          <w:iCs w:val="false"/>
          <w:color w:val="1E293B"/>
          <w:sz w:val="20"/>
          <w:szCs w:val="20"/>
        </w:rPr>
        <w:t xml:space="preserve">- Registro de capacitacion post-cambio</w:t>
      </w:r>
    </w:p>
    <w:p>
      <w:pPr>
        <w:pStyle w:val="Heading1"/>
        <w:spacing w:before="360" w:after="200"/>
      </w:pPr>
      <w:r>
        <w:rPr>
          <w:rFonts w:ascii="Calibri" w:cs="Calibri" w:eastAsia="Calibri" w:hAnsi="Calibri"/>
          <w:b/>
          <w:bCs/>
          <w:color w:val="1a6b4e"/>
          <w:sz w:val="30"/>
          <w:szCs w:val="30"/>
        </w:rPr>
        <w:t xml:space="preserve">8. Indicadores de Seguimiento</w:t>
      </w:r>
    </w:p>
    <w:p>
      <w:pPr>
        <w:spacing w:after="120" w:before="40" w:line="276"/>
        <w:jc w:val="both"/>
      </w:pPr>
      <w:r>
        <w:rPr>
          <w:rFonts w:ascii="Calibri" w:cs="Calibri" w:eastAsia="Calibri" w:hAnsi="Calibri"/>
          <w:b w:val="false"/>
          <w:bCs w:val="false"/>
          <w:i w:val="false"/>
          <w:iCs w:val="false"/>
          <w:color w:val="1E293B"/>
          <w:sz w:val="20"/>
          <w:szCs w:val="20"/>
        </w:rPr>
        <w:t xml:space="preserve">- % de cambios gestionados conforme al procedimiento (Meta: 100%)</w:t>
      </w:r>
    </w:p>
    <w:p>
      <w:pPr>
        <w:spacing w:after="120" w:before="40" w:line="276"/>
        <w:jc w:val="both"/>
      </w:pPr>
      <w:r>
        <w:rPr>
          <w:rFonts w:ascii="Calibri" w:cs="Calibri" w:eastAsia="Calibri" w:hAnsi="Calibri"/>
          <w:b w:val="false"/>
          <w:bCs w:val="false"/>
          <w:i w:val="false"/>
          <w:iCs w:val="false"/>
          <w:color w:val="1E293B"/>
          <w:sz w:val="20"/>
          <w:szCs w:val="20"/>
        </w:rPr>
        <w:t xml:space="preserve">- Incidentes relacionados con cambios no gestionados (Meta: 0)</w:t>
      </w:r>
    </w:p>
    <w:p>
      <w:r>
        <w:br w:type="page"/>
      </w:r>
    </w:p>
    <w:p>
      <w:pPr>
        <w:pStyle w:val="Heading1"/>
        <w:spacing w:before="360" w:after="200"/>
      </w:pPr>
      <w:r>
        <w:rPr>
          <w:rFonts w:ascii="Calibri" w:cs="Calibri" w:eastAsia="Calibri" w:hAnsi="Calibri"/>
          <w:b/>
          <w:bCs/>
          <w:color w:val="1a6b4e"/>
          <w:sz w:val="30"/>
          <w:szCs w:val="30"/>
        </w:rPr>
        <w:t xml:space="preserve">9. Firmas de Aprobacion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8"/>
                <w:szCs w:val="18"/>
              </w:rPr>
              <w:t xml:space="preserve">Elaborado por</w:t>
            </w:r>
          </w:p>
        </w:tc>
        <w:tc>
          <w:tcPr>
            <w:tcW w:type="dxa" w:w="3009"/>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8"/>
                <w:szCs w:val="18"/>
              </w:rPr>
              <w:t xml:space="preserve">Revisado por</w:t>
            </w:r>
          </w:p>
        </w:tc>
        <w:tc>
          <w:tcPr>
            <w:tcW w:type="dxa" w:w="3009"/>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8"/>
                <w:szCs w:val="18"/>
              </w:rPr>
              <w:t xml:space="preserve">Aprobado por</w:t>
            </w:r>
          </w:p>
        </w:tc>
      </w:tr>
      <w:tr>
        <w:tc>
          <w:tcPr>
            <w:tcW w:type="dxa" w:w="3008"/>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INNOVAQ SOLUTIONS SAC
Consultor SIG</w:t>
            </w:r>
          </w:p>
        </w:tc>
        <w:tc>
          <w:tcPr>
            <w:tcW w:type="dxa" w:w="3009"/>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Giancarlo Huamani Calero
Ingeniero SST</w:t>
            </w:r>
          </w:p>
        </w:tc>
        <w:tc>
          <w:tcPr>
            <w:tcW w:type="dxa" w:w="3009"/>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Timoteo Huamani
Gerente General</w:t>
            </w:r>
          </w:p>
        </w:tc>
      </w:tr>
      <w:tr>
        <w:tc>
          <w:tcPr>
            <w:tcW w:type="dxa" w:w="3008"/>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Firma: ______________</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Firma: ______________</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Firma: ______________</w:t>
            </w:r>
          </w:p>
        </w:tc>
      </w:tr>
      <w:tr>
        <w:tc>
          <w:tcPr>
            <w:tcW w:type="dxa" w:w="3008"/>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Fecha: ___/___/2026</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Fecha: ___/___/2026</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8"/>
                <w:szCs w:val="18"/>
              </w:rPr>
              <w:t xml:space="preserve">Fecha: ___/___/2026</w:t>
            </w:r>
          </w:p>
        </w:tc>
      </w:tr>
    </w:tbl>
    <w:p>
      <w:pPr>
        <w:spacing w:before="200" w:after="0"/>
      </w:pPr>
    </w:p>
    <w:p>
      <w:pPr>
        <w:spacing w:after="120" w:before="0" w:line="276"/>
        <w:jc w:val="center"/>
      </w:pPr>
      <w:r>
        <w:rPr>
          <w:rFonts w:ascii="Calibri" w:cs="Calibri" w:eastAsia="Calibri" w:hAnsi="Calibri"/>
          <w:b w:val="false"/>
          <w:bCs w:val="false"/>
          <w:i/>
          <w:iCs/>
          <w:color w:val="64748B"/>
          <w:sz w:val="16"/>
          <w:szCs w:val="16"/>
        </w:rPr>
        <w:t xml:space="preserve">Powered by INNOVAQ SOLUTIONS SAC | contacto@innovaqsolution.com</w:t>
      </w:r>
    </w:p>
    <w:sectPr>
      <w:headerReference w:type="default" r:id="rId6"/>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1D9CE" w:sz="1" w:space="4"/>
      </w:pBdr>
      <w:tabs>
        <w:tab w:val="right" w:pos="9026"/>
      </w:tabs>
      <w:spacing w:after="0"/>
    </w:pPr>
    <w:r>
      <w:rPr>
        <w:rFonts w:ascii="Calibri" w:cs="Calibri" w:eastAsia="Calibri" w:hAnsi="Calibri"/>
        <w:color w:val="64748B"/>
        <w:sz w:val="13"/>
        <w:szCs w:val="13"/>
      </w:rPr>
      <w:t xml:space="preserve">Confidencial — Tours Panasur E.I.R.L.</w:t>
    </w:r>
    <w:r>
      <w:t xml:space="preserve">	Pag </w:t>
    </w:r>
    <w:r>
      <w:rPr>
        <w:rFonts w:ascii="Calibri" w:cs="Calibri" w:eastAsia="Calibri" w:hAnsi="Calibri"/>
        <w:color w:val="64748B"/>
        <w:sz w:val="13"/>
        <w:szCs w:val="13"/>
      </w:rPr>
      <w:fldChar w:fldCharType="begin"/>
      <w:instrText xml:space="preserve">PAGE</w:instrText>
      <w:fldChar w:fldCharType="separate"/>
      <w:fldChar w:fldCharType="end"/>
    </w:r>
    <w:r>
      <w:rPr>
        <w:rFonts w:ascii="Calibri" w:cs="Calibri" w:eastAsia="Calibri" w:hAnsi="Calibri"/>
        <w:color w:val="64748B"/>
        <w:sz w:val="13"/>
        <w:szCs w:val="13"/>
      </w:rPr>
      <w:t xml:space="preserve"> / </w:t>
    </w:r>
    <w:r>
      <w:rPr>
        <w:rFonts w:ascii="Calibri" w:cs="Calibri" w:eastAsia="Calibri" w:hAnsi="Calibri"/>
        <w:color w:val="64748B"/>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4e" w:sz="2" w:space="4"/>
      </w:pBdr>
      <w:tabs>
        <w:tab w:val="right" w:pos="9026"/>
      </w:tabs>
      <w:spacing w:after="0"/>
    </w:pPr>
    <w:r>
      <w:rPr>
        <w:rFonts w:ascii="Calibri" w:cs="Calibri" w:eastAsia="Calibri" w:hAnsi="Calibri"/>
        <w:b/>
        <w:bCs/>
        <w:color w:val="1a6b4e"/>
        <w:sz w:val="15"/>
        <w:szCs w:val="15"/>
      </w:rPr>
      <w:t xml:space="preserve">TOURS PANASUR E.I.R.L.</w:t>
    </w:r>
    <w:r>
      <w:rPr>
        <w:rFonts w:ascii="Calibri" w:cs="Calibri" w:eastAsia="Calibri" w:hAnsi="Calibri"/>
        <w:color w:val="64748B"/>
        <w:sz w:val="13"/>
        <w:szCs w:val="13"/>
      </w:rPr>
      <w:t xml:space="preserve">	TP-PRO-SIG-005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a6b4e"/>
      <w:sz w:val="30"/>
      <w:szCs w:val="30"/>
    </w:rPr>
  </w:style>
  <w:style w:type="paragraph" w:styleId="Heading2">
    <w:name w:val="Heading 2"/>
    <w:basedOn w:val="Normal"/>
    <w:next w:val="Normal"/>
    <w:qFormat/>
    <w:pPr>
      <w:spacing w:before="240" w:after="160"/>
      <w:outlineLvl w:val="1"/>
    </w:pPr>
    <w:rPr>
      <w:rFonts w:ascii="Calibri" w:cs="Calibri" w:eastAsia="Calibri" w:hAnsi="Calibri"/>
      <w:b/>
      <w:bCs/>
      <w:color w:val="1a6b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2026-03-08T10:57:05.138Z</dcterms:created>
  <dcterms:modified xsi:type="dcterms:W3CDTF">2026-03-08T10:57:05.138Z</dcterms:modified>
</cp:coreProperties>
</file>

<file path=docProps/custom.xml><?xml version="1.0" encoding="utf-8"?>
<Properties xmlns="http://schemas.openxmlformats.org/officeDocument/2006/custom-properties" xmlns:vt="http://schemas.openxmlformats.org/officeDocument/2006/docPropsVTypes"/>
</file>