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0"/>
      </w:pPr>
    </w:p>
    <w:p>
      <w:pPr>
        <w:spacing w:after="120" w:before="0" w:line="276"/>
        <w:jc w:val="center"/>
      </w:pPr>
      <w:r>
        <w:rPr>
          <w:rFonts w:ascii="Calibri" w:cs="Calibri" w:eastAsia="Calibri" w:hAnsi="Calibri"/>
          <w:b/>
          <w:bCs/>
          <w:i w:val="false"/>
          <w:iCs w:val="false"/>
          <w:color w:val="64748B"/>
          <w:sz w:val="20"/>
          <w:szCs w:val="20"/>
        </w:rPr>
        <w:t xml:space="preserve">TOURS PANASUR E.I.R.L.</w:t>
      </w:r>
    </w:p>
    <w:p>
      <w:pPr>
        <w:spacing w:after="200" w:before="0" w:line="276"/>
        <w:jc w:val="center"/>
      </w:pPr>
      <w:r>
        <w:rPr>
          <w:rFonts w:ascii="Calibri" w:cs="Calibri" w:eastAsia="Calibri" w:hAnsi="Calibri"/>
          <w:b w:val="false"/>
          <w:bCs w:val="false"/>
          <w:i w:val="false"/>
          <w:iCs w:val="false"/>
          <w:color w:val="64748B"/>
          <w:sz w:val="16"/>
          <w:szCs w:val="16"/>
        </w:rPr>
        <w:t xml:space="preserve">RUC: 20259263230</w:t>
      </w:r>
    </w:p>
    <w:p>
      <w:pPr>
        <w:spacing w:before="150" w:after="0"/>
      </w:pPr>
    </w:p>
    <w:p>
      <w:pPr>
        <w:spacing w:after="200" w:before="0" w:line="276"/>
        <w:jc w:val="center"/>
      </w:pPr>
      <w:r>
        <w:rPr>
          <w:rFonts w:ascii="Calibri" w:cs="Calibri" w:eastAsia="Calibri" w:hAnsi="Calibri"/>
          <w:b/>
          <w:bCs/>
          <w:i w:val="false"/>
          <w:iCs w:val="false"/>
          <w:color w:val="1a6b4e"/>
          <w:sz w:val="32"/>
          <w:szCs w:val="32"/>
        </w:rPr>
        <w:t xml:space="preserve">PROCEDIMIENTO IPERC CONTINUO</w:t>
      </w:r>
    </w:p>
    <w:p>
      <w:pPr>
        <w:spacing w:before="100" w:after="0"/>
      </w:pPr>
    </w:p>
    <w:p>
      <w:pPr>
        <w:spacing w:after="120" w:before="0" w:line="276"/>
        <w:jc w:val="center"/>
      </w:pPr>
      <w:r>
        <w:rPr>
          <w:rFonts w:ascii="Calibri" w:cs="Calibri" w:eastAsia="Calibri" w:hAnsi="Calibri"/>
          <w:b w:val="false"/>
          <w:bCs w:val="false"/>
          <w:i/>
          <w:iCs/>
          <w:color w:val="64748B"/>
          <w:sz w:val="18"/>
          <w:szCs w:val="18"/>
        </w:rPr>
        <w:t xml:space="preserve">Area: SST | Normas: ISO 45001:2018 (6.1.2), Ley 29783 (Art. 57), RM 050-2013-TR, DS 024-2016-EM (Art. 95-97)</w:t>
      </w:r>
    </w:p>
    <w:p>
      <w:pPr>
        <w:spacing w:before="4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Codigo</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TP-PRO-SST-001</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Version</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1.0</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Fecha de Emision</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08 de Marzo de 2026</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Elaborado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INNOVAQ SOLUTIONS SAC</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Revisado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Giancarlo Huamani Calero — Ing. SST</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Aprobado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Timoteo Huamani — Gerente General</w:t>
            </w:r>
          </w:p>
        </w:tc>
      </w:tr>
    </w:tbl>
    <w:p>
      <w:r>
        <w:br w:type="page"/>
      </w:r>
    </w:p>
    <w:p>
      <w:pPr>
        <w:pStyle w:val="Heading1"/>
        <w:spacing w:before="360" w:after="200"/>
      </w:pPr>
      <w:r>
        <w:rPr>
          <w:rFonts w:ascii="Calibri" w:cs="Calibri" w:eastAsia="Calibri" w:hAnsi="Calibri"/>
          <w:b/>
          <w:bCs/>
          <w:color w:val="1a6b4e"/>
          <w:sz w:val="30"/>
          <w:szCs w:val="30"/>
        </w:rPr>
        <w:t xml:space="preserve">Control de Cambios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5826"/>
        <w:gridCol w:w="1500"/>
      </w:tblGrid>
      <w:tr>
        <w:tc>
          <w:tcPr>
            <w:tcW w:type="dxa" w:w="6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Ver.</w:t>
            </w:r>
          </w:p>
        </w:tc>
        <w:tc>
          <w:tcPr>
            <w:tcW w:type="dxa" w:w="11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Fecha</w:t>
            </w:r>
          </w:p>
        </w:tc>
        <w:tc>
          <w:tcPr>
            <w:tcW w:type="dxa" w:w="5826"/>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Descripcion</w:t>
            </w:r>
          </w:p>
        </w:tc>
        <w:tc>
          <w:tcPr>
            <w:tcW w:type="dxa" w:w="15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Responsable</w:t>
            </w:r>
          </w:p>
        </w:tc>
      </w:tr>
      <w:tr>
        <w:tc>
          <w:tcPr>
            <w:tcW w:type="dxa" w:w="6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1.0</w:t>
            </w:r>
          </w:p>
        </w:tc>
        <w:tc>
          <w:tcPr>
            <w:tcW w:type="dxa" w:w="11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08/03/2026</w:t>
            </w:r>
          </w:p>
        </w:tc>
        <w:tc>
          <w:tcPr>
            <w:tcW w:type="dxa" w:w="58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Emision inicial</w:t>
            </w:r>
          </w:p>
        </w:tc>
        <w:tc>
          <w:tcPr>
            <w:tcW w:type="dxa" w:w="15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INNOVAQ SOLUTIONS</w:t>
            </w:r>
          </w:p>
        </w:tc>
      </w:tr>
    </w:tbl>
    <w:p>
      <w:r>
        <w:br w:type="page"/>
      </w:r>
    </w:p>
    <w:p>
      <w:pPr>
        <w:pStyle w:val="Heading1"/>
        <w:spacing w:before="360" w:after="200"/>
      </w:pPr>
      <w:r>
        <w:rPr>
          <w:rFonts w:ascii="Calibri" w:cs="Calibri" w:eastAsia="Calibri" w:hAnsi="Calibri"/>
          <w:b/>
          <w:bCs/>
          <w:color w:val="1a6b4e"/>
          <w:sz w:val="30"/>
          <w:szCs w:val="30"/>
        </w:rPr>
        <w:t xml:space="preserve">1. Objetivo</w:t>
      </w:r>
    </w:p>
    <w:p>
      <w:pPr>
        <w:spacing w:after="120" w:before="0" w:line="276"/>
        <w:jc w:val="both"/>
      </w:pPr>
      <w:r>
        <w:rPr>
          <w:rFonts w:ascii="Calibri" w:cs="Calibri" w:eastAsia="Calibri" w:hAnsi="Calibri"/>
          <w:b w:val="false"/>
          <w:bCs w:val="false"/>
          <w:i w:val="false"/>
          <w:iCs w:val="false"/>
          <w:color w:val="1E293B"/>
          <w:sz w:val="20"/>
          <w:szCs w:val="20"/>
        </w:rPr>
        <w:t xml:space="preserve">Establecer la metodologia para la identificacion continua de peligros, evaluacion de riesgos y determinacion de controles (IPERC) en todas las actividades de Tours Panasur, conforme a la jerarquia de controles y la normativa peruana aplicable.</w:t>
      </w:r>
    </w:p>
    <w:p>
      <w:pPr>
        <w:pStyle w:val="Heading1"/>
        <w:spacing w:before="360" w:after="200"/>
      </w:pPr>
      <w:r>
        <w:rPr>
          <w:rFonts w:ascii="Calibri" w:cs="Calibri" w:eastAsia="Calibri" w:hAnsi="Calibri"/>
          <w:b/>
          <w:bCs/>
          <w:color w:val="1a6b4e"/>
          <w:sz w:val="30"/>
          <w:szCs w:val="30"/>
        </w:rPr>
        <w:t xml:space="preserve">2. Alcance</w:t>
      </w:r>
    </w:p>
    <w:p>
      <w:pPr>
        <w:spacing w:after="120" w:before="0" w:line="276"/>
        <w:jc w:val="both"/>
      </w:pPr>
      <w:r>
        <w:rPr>
          <w:rFonts w:ascii="Calibri" w:cs="Calibri" w:eastAsia="Calibri" w:hAnsi="Calibri"/>
          <w:b w:val="false"/>
          <w:bCs w:val="false"/>
          <w:i w:val="false"/>
          <w:iCs w:val="false"/>
          <w:color w:val="1E293B"/>
          <w:sz w:val="20"/>
          <w:szCs w:val="20"/>
        </w:rPr>
        <w:t xml:space="preserve">Aplica a todas las actividades rutinarias y no rutinarias de la organizacion, incluyendo: transporte de carga por carretera, transporte de relaves filtrados, operaciones de obras de ingenieria, mantenimiento de flota, actividades administrativas y operaciones en proyectos de clientes (San Gabriel, Cerro Verde).</w:t>
      </w:r>
    </w:p>
    <w:p>
      <w:pPr>
        <w:pStyle w:val="Heading1"/>
        <w:spacing w:before="360" w:after="200"/>
      </w:pPr>
      <w:r>
        <w:rPr>
          <w:rFonts w:ascii="Calibri" w:cs="Calibri" w:eastAsia="Calibri" w:hAnsi="Calibri"/>
          <w:b/>
          <w:bCs/>
          <w:color w:val="1a6b4e"/>
          <w:sz w:val="30"/>
          <w:szCs w:val="30"/>
        </w:rPr>
        <w:t xml:space="preserve">3. Referencias Normativas</w:t>
      </w:r>
    </w:p>
    <w:p>
      <w:pPr>
        <w:spacing w:after="120" w:before="0" w:line="276"/>
        <w:jc w:val="both"/>
      </w:pPr>
      <w:r>
        <w:rPr>
          <w:rFonts w:ascii="Calibri" w:cs="Calibri" w:eastAsia="Calibri" w:hAnsi="Calibri"/>
          <w:b w:val="false"/>
          <w:bCs w:val="false"/>
          <w:i w:val="false"/>
          <w:iCs w:val="false"/>
          <w:color w:val="1E293B"/>
          <w:sz w:val="20"/>
          <w:szCs w:val="20"/>
        </w:rPr>
        <w:t xml:space="preserve">ISO 45001:2018 (6.1.2), Ley 29783 (Art. 57), RM 050-2013-TR, DS 024-2016-EM (Art. 95-97)</w:t>
      </w:r>
    </w:p>
    <w:p>
      <w:pPr>
        <w:pStyle w:val="Heading1"/>
        <w:spacing w:before="360" w:after="200"/>
      </w:pPr>
      <w:r>
        <w:rPr>
          <w:rFonts w:ascii="Calibri" w:cs="Calibri" w:eastAsia="Calibri" w:hAnsi="Calibri"/>
          <w:b/>
          <w:bCs/>
          <w:color w:val="1a6b4e"/>
          <w:sz w:val="30"/>
          <w:szCs w:val="30"/>
        </w:rPr>
        <w:t xml:space="preserve">4. Definiciones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Termino</w:t>
            </w:r>
          </w:p>
        </w:tc>
        <w:tc>
          <w:tcPr>
            <w:tcW w:type="dxa" w:w="6526"/>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Definicion</w:t>
            </w:r>
          </w:p>
        </w:tc>
      </w:tr>
      <w:tr>
        <w:tc>
          <w:tcPr>
            <w:tcW w:type="dxa" w:w="25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Peligro</w:t>
            </w:r>
          </w:p>
        </w:tc>
        <w:tc>
          <w:tcPr>
            <w:tcW w:type="dxa" w:w="65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Fuente, situacion o acto con potencial de causar dano en terminos de lesion o enfermedad, o una combinacion de estos.</w:t>
            </w:r>
          </w:p>
        </w:tc>
      </w:tr>
      <w:tr>
        <w:tc>
          <w:tcPr>
            <w:tcW w:type="dxa" w:w="25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Riesgo</w:t>
            </w:r>
          </w:p>
        </w:tc>
        <w:tc>
          <w:tcPr>
            <w:tcW w:type="dxa" w:w="652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Combinacion de la probabilidad de que ocurra un evento peligroso y la severidad de la lesion o enfermedad que puede causar.</w:t>
            </w:r>
          </w:p>
        </w:tc>
      </w:tr>
      <w:tr>
        <w:tc>
          <w:tcPr>
            <w:tcW w:type="dxa" w:w="25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IPERC Linea Base</w:t>
            </w:r>
          </w:p>
        </w:tc>
        <w:tc>
          <w:tcPr>
            <w:tcW w:type="dxa" w:w="65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Evaluacion inicial comprehensiva de todos los peligros y riesgos de la organizacion. Se actualiza anualmente o ante cambios significativos.</w:t>
            </w:r>
          </w:p>
        </w:tc>
      </w:tr>
      <w:tr>
        <w:tc>
          <w:tcPr>
            <w:tcW w:type="dxa" w:w="25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IPERC Continuo</w:t>
            </w:r>
          </w:p>
        </w:tc>
        <w:tc>
          <w:tcPr>
            <w:tcW w:type="dxa" w:w="652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Evaluacion diaria realizada por el personal antes de iniciar cada tarea (ATS). Se complementa con la IPERC Linea Base.</w:t>
            </w:r>
          </w:p>
        </w:tc>
      </w:tr>
      <w:tr>
        <w:tc>
          <w:tcPr>
            <w:tcW w:type="dxa" w:w="25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Jerarquia de Controles</w:t>
            </w:r>
          </w:p>
        </w:tc>
        <w:tc>
          <w:tcPr>
            <w:tcW w:type="dxa" w:w="65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Orden de prioridad para la eliminacion/reduccion de riesgos: 1) Eliminacion, 2) Sustitucion, 3) Controles de ingenieria, 4) Controles administrativos, 5) EPP.</w:t>
            </w:r>
          </w:p>
        </w:tc>
      </w:tr>
    </w:tbl>
    <w:p>
      <w:r>
        <w:br w:type="page"/>
      </w:r>
    </w:p>
    <w:p>
      <w:pPr>
        <w:pStyle w:val="Heading1"/>
        <w:spacing w:before="360" w:after="200"/>
      </w:pPr>
      <w:r>
        <w:rPr>
          <w:rFonts w:ascii="Calibri" w:cs="Calibri" w:eastAsia="Calibri" w:hAnsi="Calibri"/>
          <w:b/>
          <w:bCs/>
          <w:color w:val="1a6b4e"/>
          <w:sz w:val="30"/>
          <w:szCs w:val="30"/>
        </w:rPr>
        <w:t xml:space="preserve">5. Responsabilidades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Rol</w:t>
            </w:r>
          </w:p>
        </w:tc>
        <w:tc>
          <w:tcPr>
            <w:tcW w:type="dxa" w:w="6526"/>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Responsabilidad</w:t>
            </w:r>
          </w:p>
        </w:tc>
      </w:tr>
      <w:tr>
        <w:tc>
          <w:tcPr>
            <w:tcW w:type="dxa" w:w="25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Ing. SST (Giancarlo Huamani)</w:t>
            </w:r>
          </w:p>
        </w:tc>
        <w:tc>
          <w:tcPr>
            <w:tcW w:type="dxa" w:w="65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Elaborar y mantener actualizada la Matriz IPERC Linea Base. Capacitar al personal en metodologia IPERC. Verificar la aplicacion del IPERC Continuo en campo.</w:t>
            </w:r>
          </w:p>
        </w:tc>
      </w:tr>
      <w:tr>
        <w:tc>
          <w:tcPr>
            <w:tcW w:type="dxa" w:w="25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Supervisor de Campo (Oscar Puma)</w:t>
            </w:r>
          </w:p>
        </w:tc>
        <w:tc>
          <w:tcPr>
            <w:tcW w:type="dxa" w:w="652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Liderar la elaboracion diaria del ATS antes de cada tarea. Verificar que los controles definidos se implementen.</w:t>
            </w:r>
          </w:p>
        </w:tc>
      </w:tr>
      <w:tr>
        <w:tc>
          <w:tcPr>
            <w:tcW w:type="dxa" w:w="25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Todo el personal operativo</w:t>
            </w:r>
          </w:p>
        </w:tc>
        <w:tc>
          <w:tcPr>
            <w:tcW w:type="dxa" w:w="65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Participar activamente en la identificacion de peligros. Completar el ATS diario (TP-FOR-SST-005). Reportar peligros no identificados.</w:t>
            </w:r>
          </w:p>
        </w:tc>
      </w:tr>
      <w:tr>
        <w:tc>
          <w:tcPr>
            <w:tcW w:type="dxa" w:w="25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Gerente General</w:t>
            </w:r>
          </w:p>
        </w:tc>
        <w:tc>
          <w:tcPr>
            <w:tcW w:type="dxa" w:w="652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Asegurar recursos para la implementacion de controles. Aprobar la Matriz IPERC Linea Base.</w:t>
            </w:r>
          </w:p>
        </w:tc>
      </w:tr>
    </w:tbl>
    <w:p>
      <w:r>
        <w:br w:type="page"/>
      </w:r>
    </w:p>
    <w:p>
      <w:pPr>
        <w:pStyle w:val="Heading1"/>
        <w:spacing w:before="360" w:after="200"/>
      </w:pPr>
      <w:r>
        <w:rPr>
          <w:rFonts w:ascii="Calibri" w:cs="Calibri" w:eastAsia="Calibri" w:hAnsi="Calibri"/>
          <w:b/>
          <w:bCs/>
          <w:color w:val="1a6b4e"/>
          <w:sz w:val="30"/>
          <w:szCs w:val="30"/>
        </w:rPr>
        <w:t xml:space="preserve">6. Descripcion del Procedimiento</w:t>
      </w:r>
    </w:p>
    <w:p>
      <w:pPr>
        <w:pStyle w:val="Heading2"/>
        <w:spacing w:before="240" w:after="160"/>
      </w:pPr>
      <w:r>
        <w:rPr>
          <w:rFonts w:ascii="Calibri" w:cs="Calibri" w:eastAsia="Calibri" w:hAnsi="Calibri"/>
          <w:b/>
          <w:bCs/>
          <w:color w:val="1a6b4e"/>
          <w:sz w:val="24"/>
          <w:szCs w:val="24"/>
        </w:rPr>
        <w:t xml:space="preserve">6.1 IPERC Linea Base — Inventario de Actividades</w:t>
      </w:r>
    </w:p>
    <w:p>
      <w:pPr>
        <w:spacing w:after="120" w:before="0" w:line="276"/>
        <w:jc w:val="both"/>
      </w:pPr>
      <w:r>
        <w:rPr>
          <w:rFonts w:ascii="Calibri" w:cs="Calibri" w:eastAsia="Calibri" w:hAnsi="Calibri"/>
          <w:b w:val="false"/>
          <w:bCs w:val="false"/>
          <w:i w:val="false"/>
          <w:iCs w:val="false"/>
          <w:color w:val="1E293B"/>
          <w:sz w:val="20"/>
          <w:szCs w:val="20"/>
        </w:rPr>
        <w:t xml:space="preserve">Se identifican todas las actividades de la organizacion por area: Transporte (rutas, carguio, descarga), Operaciones en obra (excavacion, geomembrana, concreto, encofrado), Mantenimiento (mecanica, electrica, soldadura), Administrativas. Se utiliza la Matriz TP-MAT-SST-001.</w:t>
      </w:r>
    </w:p>
    <w:p>
      <w:pPr>
        <w:pStyle w:val="Heading2"/>
        <w:spacing w:before="240" w:after="160"/>
      </w:pPr>
      <w:r>
        <w:rPr>
          <w:rFonts w:ascii="Calibri" w:cs="Calibri" w:eastAsia="Calibri" w:hAnsi="Calibri"/>
          <w:b/>
          <w:bCs/>
          <w:color w:val="1a6b4e"/>
          <w:sz w:val="24"/>
          <w:szCs w:val="24"/>
        </w:rPr>
        <w:t xml:space="preserve">6.2 Identificacion de Peligros</w:t>
      </w:r>
    </w:p>
    <w:p>
      <w:pPr>
        <w:spacing w:after="120" w:before="0" w:line="276"/>
        <w:jc w:val="both"/>
      </w:pPr>
      <w:r>
        <w:rPr>
          <w:rFonts w:ascii="Calibri" w:cs="Calibri" w:eastAsia="Calibri" w:hAnsi="Calibri"/>
          <w:b w:val="false"/>
          <w:bCs w:val="false"/>
          <w:i w:val="false"/>
          <w:iCs w:val="false"/>
          <w:color w:val="1E293B"/>
          <w:sz w:val="20"/>
          <w:szCs w:val="20"/>
        </w:rPr>
        <w:t xml:space="preserve">Para cada actividad se identifican los peligros asociados clasificados en: Fisicos (ruido, vibracion, radiacion, temperatura), Quimicos (polvo, gases, relaves), Biologicos (insectos, bacterias en altura), Ergonomicos (posturas, vibracion cuerpo entero), Psicosociales (fatiga, estres, trabajo nocturno), Mecanicos (atrapamiento, golpes, caidas), Electricos, Locativos, Fenomenos naturales (sismo, derrumbe, tormenta electrica en altitud).</w:t>
      </w:r>
    </w:p>
    <w:p>
      <w:pPr>
        <w:pStyle w:val="Heading2"/>
        <w:spacing w:before="240" w:after="160"/>
      </w:pPr>
      <w:r>
        <w:rPr>
          <w:rFonts w:ascii="Calibri" w:cs="Calibri" w:eastAsia="Calibri" w:hAnsi="Calibri"/>
          <w:b/>
          <w:bCs/>
          <w:color w:val="1a6b4e"/>
          <w:sz w:val="24"/>
          <w:szCs w:val="24"/>
        </w:rPr>
        <w:t xml:space="preserve">6.3 Evaluacion del Riesgo</w:t>
      </w:r>
    </w:p>
    <w:p>
      <w:pPr>
        <w:spacing w:after="120" w:before="0" w:line="276"/>
        <w:jc w:val="both"/>
      </w:pPr>
      <w:r>
        <w:rPr>
          <w:rFonts w:ascii="Calibri" w:cs="Calibri" w:eastAsia="Calibri" w:hAnsi="Calibri"/>
          <w:b w:val="false"/>
          <w:bCs w:val="false"/>
          <w:i w:val="false"/>
          <w:iCs w:val="false"/>
          <w:color w:val="1E293B"/>
          <w:sz w:val="20"/>
          <w:szCs w:val="20"/>
        </w:rPr>
        <w:t xml:space="preserve">Se evalua cada riesgo usando la metodologia de la RM 050-2013-TR: Probabilidad = Indice de Personas Expuestas + Indice de Procedimientos Existentes + Indice de Capacitacion + Indice de Exposicion al Riesgo. Severidad = Segun tabla RM 050 (Ligeramente danino, Danino, Extremadamente danino). Nivel de Riesgo = Probabilidad x Severidad. Clasificacion: Trivial (1-4), Tolerable (5-8), Moderado (9-16), Importante (17-24), Intolerable (25-36).</w:t>
      </w:r>
    </w:p>
    <w:p>
      <w:pPr>
        <w:pStyle w:val="Heading2"/>
        <w:spacing w:before="240" w:after="160"/>
      </w:pPr>
      <w:r>
        <w:rPr>
          <w:rFonts w:ascii="Calibri" w:cs="Calibri" w:eastAsia="Calibri" w:hAnsi="Calibri"/>
          <w:b/>
          <w:bCs/>
          <w:color w:val="1a6b4e"/>
          <w:sz w:val="24"/>
          <w:szCs w:val="24"/>
        </w:rPr>
        <w:t xml:space="preserve">6.4 Determinacion de Controles</w:t>
      </w:r>
    </w:p>
    <w:p>
      <w:pPr>
        <w:spacing w:after="120" w:before="0" w:line="276"/>
        <w:jc w:val="both"/>
      </w:pPr>
      <w:r>
        <w:rPr>
          <w:rFonts w:ascii="Calibri" w:cs="Calibri" w:eastAsia="Calibri" w:hAnsi="Calibri"/>
          <w:b w:val="false"/>
          <w:bCs w:val="false"/>
          <w:i w:val="false"/>
          <w:iCs w:val="false"/>
          <w:color w:val="1E293B"/>
          <w:sz w:val="20"/>
          <w:szCs w:val="20"/>
        </w:rPr>
        <w:t xml:space="preserve">Se aplica la Jerarquia de Controles para cada riesgo: 1) Eliminacion: Remover el peligro (ej: sustituir tarea manual por mecanizada). 2) Sustitucion: Reemplazar por algo menos peligroso. 3) Ingenieria: Barreras fisicas, ventilacion, aislamiento. 4) Administrativo: Procedimientos, senalizacion, PETAR, rotacion, capacitacion. 5) EPP: Ultimo recurso, seleccion conforme norma tecnica.</w:t>
      </w:r>
    </w:p>
    <w:p>
      <w:pPr>
        <w:pStyle w:val="Heading2"/>
        <w:spacing w:before="240" w:after="160"/>
      </w:pPr>
      <w:r>
        <w:rPr>
          <w:rFonts w:ascii="Calibri" w:cs="Calibri" w:eastAsia="Calibri" w:hAnsi="Calibri"/>
          <w:b/>
          <w:bCs/>
          <w:color w:val="1a6b4e"/>
          <w:sz w:val="24"/>
          <w:szCs w:val="24"/>
        </w:rPr>
        <w:t xml:space="preserve">6.5 Evaluacion del Riesgo Residual</w:t>
      </w:r>
    </w:p>
    <w:p>
      <w:pPr>
        <w:spacing w:after="120" w:before="0" w:line="276"/>
        <w:jc w:val="both"/>
      </w:pPr>
      <w:r>
        <w:rPr>
          <w:rFonts w:ascii="Calibri" w:cs="Calibri" w:eastAsia="Calibri" w:hAnsi="Calibri"/>
          <w:b w:val="false"/>
          <w:bCs w:val="false"/>
          <w:i w:val="false"/>
          <w:iCs w:val="false"/>
          <w:color w:val="1E293B"/>
          <w:sz w:val="20"/>
          <w:szCs w:val="20"/>
        </w:rPr>
        <w:t xml:space="preserve">Se reevalua el riesgo considerando los controles implementados. El riesgo residual debe ser Moderado o inferior para autorizar la actividad. Si persiste como Importante o Intolerable, se requiere aprobacion de Gerencia y controles adicionales.</w:t>
      </w:r>
    </w:p>
    <w:p>
      <w:pPr>
        <w:pStyle w:val="Heading2"/>
        <w:spacing w:before="240" w:after="160"/>
      </w:pPr>
      <w:r>
        <w:rPr>
          <w:rFonts w:ascii="Calibri" w:cs="Calibri" w:eastAsia="Calibri" w:hAnsi="Calibri"/>
          <w:b/>
          <w:bCs/>
          <w:color w:val="1a6b4e"/>
          <w:sz w:val="24"/>
          <w:szCs w:val="24"/>
        </w:rPr>
        <w:t xml:space="preserve">6.6 IPERC Continuo (Diario)</w:t>
      </w:r>
    </w:p>
    <w:p>
      <w:pPr>
        <w:spacing w:after="120" w:before="0" w:line="276"/>
        <w:jc w:val="both"/>
      </w:pPr>
      <w:r>
        <w:rPr>
          <w:rFonts w:ascii="Calibri" w:cs="Calibri" w:eastAsia="Calibri" w:hAnsi="Calibri"/>
          <w:b w:val="false"/>
          <w:bCs w:val="false"/>
          <w:i w:val="false"/>
          <w:iCs w:val="false"/>
          <w:color w:val="1E293B"/>
          <w:sz w:val="20"/>
          <w:szCs w:val="20"/>
        </w:rPr>
        <w:t xml:space="preserve">Antes de cada tarea, el equipo de trabajo elabora el ATS (TP-FOR-SST-005): Identifica los peligros especificos del dia, Verifica que los controles definidos en la IPERC Linea Base estan disponibles, Identifica peligros nuevos no contemplados, Si detecta riesgo Intolerable, DETIENE la actividad y comunica al Supervisor.</w:t>
      </w:r>
    </w:p>
    <w:p>
      <w:pPr>
        <w:pStyle w:val="Heading2"/>
        <w:spacing w:before="240" w:after="160"/>
      </w:pPr>
      <w:r>
        <w:rPr>
          <w:rFonts w:ascii="Calibri" w:cs="Calibri" w:eastAsia="Calibri" w:hAnsi="Calibri"/>
          <w:b/>
          <w:bCs/>
          <w:color w:val="1a6b4e"/>
          <w:sz w:val="24"/>
          <w:szCs w:val="24"/>
        </w:rPr>
        <w:t xml:space="preserve">6.7 Revision y Actualizacion</w:t>
      </w:r>
    </w:p>
    <w:p>
      <w:pPr>
        <w:spacing w:after="120" w:before="0" w:line="276"/>
        <w:jc w:val="both"/>
      </w:pPr>
      <w:r>
        <w:rPr>
          <w:rFonts w:ascii="Calibri" w:cs="Calibri" w:eastAsia="Calibri" w:hAnsi="Calibri"/>
          <w:b w:val="false"/>
          <w:bCs w:val="false"/>
          <w:i w:val="false"/>
          <w:iCs w:val="false"/>
          <w:color w:val="1E293B"/>
          <w:sz w:val="20"/>
          <w:szCs w:val="20"/>
        </w:rPr>
        <w:t xml:space="preserve">La IPERC Linea Base se revisa: Anualmente (revision programada), Tras un incidente o accidente, Al incorporar nueva actividad o equipo, Ante cambio en legislacion o requisito de cliente, Cuando lo determine una auditoria.</w:t>
      </w:r>
    </w:p>
    <w:p>
      <w:r>
        <w:br w:type="page"/>
      </w:r>
    </w:p>
    <w:p>
      <w:pPr>
        <w:pStyle w:val="Heading1"/>
        <w:spacing w:before="360" w:after="200"/>
      </w:pPr>
      <w:r>
        <w:rPr>
          <w:rFonts w:ascii="Calibri" w:cs="Calibri" w:eastAsia="Calibri" w:hAnsi="Calibri"/>
          <w:b/>
          <w:bCs/>
          <w:color w:val="1a6b4e"/>
          <w:sz w:val="30"/>
          <w:szCs w:val="30"/>
        </w:rPr>
        <w:t xml:space="preserve">7. Registros Asociados</w:t>
      </w:r>
    </w:p>
    <w:p>
      <w:pPr>
        <w:spacing w:after="120" w:before="40" w:line="276"/>
        <w:jc w:val="both"/>
      </w:pPr>
      <w:r>
        <w:rPr>
          <w:rFonts w:ascii="Calibri" w:cs="Calibri" w:eastAsia="Calibri" w:hAnsi="Calibri"/>
          <w:b w:val="false"/>
          <w:bCs w:val="false"/>
          <w:i w:val="false"/>
          <w:iCs w:val="false"/>
          <w:color w:val="1E293B"/>
          <w:sz w:val="20"/>
          <w:szCs w:val="20"/>
        </w:rPr>
        <w:t xml:space="preserve">- TP-MAT-SST-001 (Matriz IPERC Linea Base)</w:t>
      </w:r>
    </w:p>
    <w:p>
      <w:pPr>
        <w:spacing w:after="120" w:before="40" w:line="276"/>
        <w:jc w:val="both"/>
      </w:pPr>
      <w:r>
        <w:rPr>
          <w:rFonts w:ascii="Calibri" w:cs="Calibri" w:eastAsia="Calibri" w:hAnsi="Calibri"/>
          <w:b w:val="false"/>
          <w:bCs w:val="false"/>
          <w:i w:val="false"/>
          <w:iCs w:val="false"/>
          <w:color w:val="1E293B"/>
          <w:sz w:val="20"/>
          <w:szCs w:val="20"/>
        </w:rPr>
        <w:t xml:space="preserve">- TP-MAT-SST-002 (Matriz IPERC por Proyecto)</w:t>
      </w:r>
    </w:p>
    <w:p>
      <w:pPr>
        <w:spacing w:after="120" w:before="40" w:line="276"/>
        <w:jc w:val="both"/>
      </w:pPr>
      <w:r>
        <w:rPr>
          <w:rFonts w:ascii="Calibri" w:cs="Calibri" w:eastAsia="Calibri" w:hAnsi="Calibri"/>
          <w:b w:val="false"/>
          <w:bCs w:val="false"/>
          <w:i w:val="false"/>
          <w:iCs w:val="false"/>
          <w:color w:val="1E293B"/>
          <w:sz w:val="20"/>
          <w:szCs w:val="20"/>
        </w:rPr>
        <w:t xml:space="preserve">- TP-FOR-SST-005 (Formato ATS — Analisis de Trabajo Seguro)</w:t>
      </w:r>
    </w:p>
    <w:p>
      <w:pPr>
        <w:spacing w:after="120" w:before="40" w:line="276"/>
        <w:jc w:val="both"/>
      </w:pPr>
      <w:r>
        <w:rPr>
          <w:rFonts w:ascii="Calibri" w:cs="Calibri" w:eastAsia="Calibri" w:hAnsi="Calibri"/>
          <w:b w:val="false"/>
          <w:bCs w:val="false"/>
          <w:i w:val="false"/>
          <w:iCs w:val="false"/>
          <w:color w:val="1E293B"/>
          <w:sz w:val="20"/>
          <w:szCs w:val="20"/>
        </w:rPr>
        <w:t xml:space="preserve">- Registro de actualizaciones de la IPERC</w:t>
      </w:r>
    </w:p>
    <w:p>
      <w:pPr>
        <w:spacing w:after="120" w:before="40" w:line="276"/>
        <w:jc w:val="both"/>
      </w:pPr>
      <w:r>
        <w:rPr>
          <w:rFonts w:ascii="Calibri" w:cs="Calibri" w:eastAsia="Calibri" w:hAnsi="Calibri"/>
          <w:b w:val="false"/>
          <w:bCs w:val="false"/>
          <w:i w:val="false"/>
          <w:iCs w:val="false"/>
          <w:color w:val="1E293B"/>
          <w:sz w:val="20"/>
          <w:szCs w:val="20"/>
        </w:rPr>
        <w:t xml:space="preserve">- Registros de capacitacion en IPERC</w:t>
      </w:r>
    </w:p>
    <w:p>
      <w:pPr>
        <w:pStyle w:val="Heading1"/>
        <w:spacing w:before="360" w:after="200"/>
      </w:pPr>
      <w:r>
        <w:rPr>
          <w:rFonts w:ascii="Calibri" w:cs="Calibri" w:eastAsia="Calibri" w:hAnsi="Calibri"/>
          <w:b/>
          <w:bCs/>
          <w:color w:val="1a6b4e"/>
          <w:sz w:val="30"/>
          <w:szCs w:val="30"/>
        </w:rPr>
        <w:t xml:space="preserve">8. Indicadores de Seguimiento</w:t>
      </w:r>
    </w:p>
    <w:p>
      <w:pPr>
        <w:spacing w:after="120" w:before="40" w:line="276"/>
        <w:jc w:val="both"/>
      </w:pPr>
      <w:r>
        <w:rPr>
          <w:rFonts w:ascii="Calibri" w:cs="Calibri" w:eastAsia="Calibri" w:hAnsi="Calibri"/>
          <w:b w:val="false"/>
          <w:bCs w:val="false"/>
          <w:i w:val="false"/>
          <w:iCs w:val="false"/>
          <w:color w:val="1E293B"/>
          <w:sz w:val="20"/>
          <w:szCs w:val="20"/>
        </w:rPr>
        <w:t xml:space="preserve">- % de actividades con IPERC Linea Base actualizada (Meta: 100%)</w:t>
      </w:r>
    </w:p>
    <w:p>
      <w:pPr>
        <w:spacing w:after="120" w:before="40" w:line="276"/>
        <w:jc w:val="both"/>
      </w:pPr>
      <w:r>
        <w:rPr>
          <w:rFonts w:ascii="Calibri" w:cs="Calibri" w:eastAsia="Calibri" w:hAnsi="Calibri"/>
          <w:b w:val="false"/>
          <w:bCs w:val="false"/>
          <w:i w:val="false"/>
          <w:iCs w:val="false"/>
          <w:color w:val="1E293B"/>
          <w:sz w:val="20"/>
          <w:szCs w:val="20"/>
        </w:rPr>
        <w:t xml:space="preserve">- % de ATS completados diariamente (Meta: &gt;= 95%)</w:t>
      </w:r>
    </w:p>
    <w:p>
      <w:pPr>
        <w:spacing w:after="120" w:before="40" w:line="276"/>
        <w:jc w:val="both"/>
      </w:pPr>
      <w:r>
        <w:rPr>
          <w:rFonts w:ascii="Calibri" w:cs="Calibri" w:eastAsia="Calibri" w:hAnsi="Calibri"/>
          <w:b w:val="false"/>
          <w:bCs w:val="false"/>
          <w:i w:val="false"/>
          <w:iCs w:val="false"/>
          <w:color w:val="1E293B"/>
          <w:sz w:val="20"/>
          <w:szCs w:val="20"/>
        </w:rPr>
        <w:t xml:space="preserve">- Numero de peligros nuevos identificados por IPERC Continuo (seguimiento mensual)</w:t>
      </w:r>
    </w:p>
    <w:p>
      <w:pPr>
        <w:spacing w:after="120" w:before="40" w:line="276"/>
        <w:jc w:val="both"/>
      </w:pPr>
      <w:r>
        <w:rPr>
          <w:rFonts w:ascii="Calibri" w:cs="Calibri" w:eastAsia="Calibri" w:hAnsi="Calibri"/>
          <w:b w:val="false"/>
          <w:bCs w:val="false"/>
          <w:i w:val="false"/>
          <w:iCs w:val="false"/>
          <w:color w:val="1E293B"/>
          <w:sz w:val="20"/>
          <w:szCs w:val="20"/>
        </w:rPr>
        <w:t xml:space="preserve">- % de controles implementados vs. definidos (Meta: &gt;= 90%)</w:t>
      </w:r>
    </w:p>
    <w:p>
      <w:r>
        <w:br w:type="page"/>
      </w:r>
    </w:p>
    <w:p>
      <w:pPr>
        <w:pStyle w:val="Heading1"/>
        <w:spacing w:before="360" w:after="200"/>
      </w:pPr>
      <w:r>
        <w:rPr>
          <w:rFonts w:ascii="Calibri" w:cs="Calibri" w:eastAsia="Calibri" w:hAnsi="Calibri"/>
          <w:b/>
          <w:bCs/>
          <w:color w:val="1a6b4e"/>
          <w:sz w:val="30"/>
          <w:szCs w:val="30"/>
        </w:rPr>
        <w:t xml:space="preserve">9. Firmas de Aprobacion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8"/>
                <w:szCs w:val="18"/>
              </w:rPr>
              <w:t xml:space="preserve">Elaborado por</w:t>
            </w:r>
          </w:p>
        </w:tc>
        <w:tc>
          <w:tcPr>
            <w:tcW w:type="dxa" w:w="3009"/>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8"/>
                <w:szCs w:val="18"/>
              </w:rPr>
              <w:t xml:space="preserve">Revisado por</w:t>
            </w:r>
          </w:p>
        </w:tc>
        <w:tc>
          <w:tcPr>
            <w:tcW w:type="dxa" w:w="3009"/>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8"/>
                <w:szCs w:val="18"/>
              </w:rPr>
              <w:t xml:space="preserve">Aprobado por</w:t>
            </w:r>
          </w:p>
        </w:tc>
      </w:tr>
      <w:tr>
        <w:tc>
          <w:tcPr>
            <w:tcW w:type="dxa" w:w="3008"/>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INNOVAQ SOLUTIONS SAC
Consultor SIG</w:t>
            </w:r>
          </w:p>
        </w:tc>
        <w:tc>
          <w:tcPr>
            <w:tcW w:type="dxa" w:w="3009"/>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Giancarlo Huamani Calero
Ingeniero SST</w:t>
            </w:r>
          </w:p>
        </w:tc>
        <w:tc>
          <w:tcPr>
            <w:tcW w:type="dxa" w:w="3009"/>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Timoteo Huamani
Gerente General</w:t>
            </w:r>
          </w:p>
        </w:tc>
      </w:tr>
      <w:tr>
        <w:tc>
          <w:tcPr>
            <w:tcW w:type="dxa" w:w="3008"/>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Firma: ______________</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Firma: ______________</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Firma: ______________</w:t>
            </w:r>
          </w:p>
        </w:tc>
      </w:tr>
      <w:tr>
        <w:tc>
          <w:tcPr>
            <w:tcW w:type="dxa" w:w="3008"/>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Fecha: ___/___/2026</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Fecha: ___/___/2026</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Fecha: ___/___/2026</w:t>
            </w:r>
          </w:p>
        </w:tc>
      </w:tr>
    </w:tbl>
    <w:p>
      <w:pPr>
        <w:spacing w:before="200" w:after="0"/>
      </w:pPr>
    </w:p>
    <w:p>
      <w:pPr>
        <w:spacing w:after="120" w:before="0" w:line="276"/>
        <w:jc w:val="center"/>
      </w:pPr>
      <w:r>
        <w:rPr>
          <w:rFonts w:ascii="Calibri" w:cs="Calibri" w:eastAsia="Calibri" w:hAnsi="Calibri"/>
          <w:b w:val="false"/>
          <w:bCs w:val="false"/>
          <w:i/>
          <w:iCs/>
          <w:color w:val="64748B"/>
          <w:sz w:val="16"/>
          <w:szCs w:val="16"/>
        </w:rPr>
        <w:t xml:space="preserve">Powered by INNOVAQ SOLUTIONS SAC | contacto@innovaqsolution.com</w:t>
      </w:r>
    </w:p>
    <w:sectPr>
      <w:headerReference w:type="default" r:id="rId6"/>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1D9CE" w:sz="1" w:space="4"/>
      </w:pBdr>
      <w:tabs>
        <w:tab w:val="right" w:pos="9026"/>
      </w:tabs>
      <w:spacing w:after="0"/>
    </w:pPr>
    <w:r>
      <w:rPr>
        <w:rFonts w:ascii="Calibri" w:cs="Calibri" w:eastAsia="Calibri" w:hAnsi="Calibri"/>
        <w:color w:val="64748B"/>
        <w:sz w:val="13"/>
        <w:szCs w:val="13"/>
      </w:rPr>
      <w:t xml:space="preserve">Confidencial — Tours Panasur E.I.R.L.</w:t>
    </w:r>
    <w:r>
      <w:t xml:space="preserve">	Pag </w:t>
    </w:r>
    <w:r>
      <w:rPr>
        <w:rFonts w:ascii="Calibri" w:cs="Calibri" w:eastAsia="Calibri" w:hAnsi="Calibri"/>
        <w:color w:val="64748B"/>
        <w:sz w:val="13"/>
        <w:szCs w:val="13"/>
      </w:rPr>
      <w:fldChar w:fldCharType="begin"/>
      <w:instrText xml:space="preserve">PAGE</w:instrText>
      <w:fldChar w:fldCharType="separate"/>
      <w:fldChar w:fldCharType="end"/>
    </w:r>
    <w:r>
      <w:rPr>
        <w:rFonts w:ascii="Calibri" w:cs="Calibri" w:eastAsia="Calibri" w:hAnsi="Calibri"/>
        <w:color w:val="64748B"/>
        <w:sz w:val="13"/>
        <w:szCs w:val="13"/>
      </w:rPr>
      <w:t xml:space="preserve"> / </w:t>
    </w:r>
    <w:r>
      <w:rPr>
        <w:rFonts w:ascii="Calibri" w:cs="Calibri" w:eastAsia="Calibri" w:hAnsi="Calibri"/>
        <w:color w:val="64748B"/>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4e" w:sz="2" w:space="4"/>
      </w:pBdr>
      <w:tabs>
        <w:tab w:val="right" w:pos="9026"/>
      </w:tabs>
      <w:spacing w:after="0"/>
    </w:pPr>
    <w:r>
      <w:rPr>
        <w:rFonts w:ascii="Calibri" w:cs="Calibri" w:eastAsia="Calibri" w:hAnsi="Calibri"/>
        <w:b/>
        <w:bCs/>
        <w:color w:val="1a6b4e"/>
        <w:sz w:val="15"/>
        <w:szCs w:val="15"/>
      </w:rPr>
      <w:t xml:space="preserve">TOURS PANASUR E.I.R.L.</w:t>
    </w:r>
    <w:r>
      <w:rPr>
        <w:rFonts w:ascii="Calibri" w:cs="Calibri" w:eastAsia="Calibri" w:hAnsi="Calibri"/>
        <w:color w:val="64748B"/>
        <w:sz w:val="13"/>
        <w:szCs w:val="13"/>
      </w:rPr>
      <w:t xml:space="preserve">	TP-PRO-SST-001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a6b4e"/>
      <w:sz w:val="30"/>
      <w:szCs w:val="30"/>
    </w:rPr>
  </w:style>
  <w:style w:type="paragraph" w:styleId="Heading2">
    <w:name w:val="Heading 2"/>
    <w:basedOn w:val="Normal"/>
    <w:next w:val="Normal"/>
    <w:qFormat/>
    <w:pPr>
      <w:spacing w:before="240" w:after="160"/>
      <w:outlineLvl w:val="1"/>
    </w:pPr>
    <w:rPr>
      <w:rFonts w:ascii="Calibri" w:cs="Calibri" w:eastAsia="Calibri" w:hAnsi="Calibri"/>
      <w:b/>
      <w:bCs/>
      <w:color w:val="1a6b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2026-03-08T10:57:05.172Z</dcterms:created>
  <dcterms:modified xsi:type="dcterms:W3CDTF">2026-03-08T10:57:05.172Z</dcterms:modified>
</cp:coreProperties>
</file>

<file path=docProps/custom.xml><?xml version="1.0" encoding="utf-8"?>
<Properties xmlns="http://schemas.openxmlformats.org/officeDocument/2006/custom-properties" xmlns:vt="http://schemas.openxmlformats.org/officeDocument/2006/docPropsVTypes"/>
</file>