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0"/>
      </w:pPr>
    </w:p>
    <w:p>
      <w:pPr>
        <w:spacing w:after="120" w:before="0" w:line="276"/>
        <w:jc w:val="center"/>
      </w:pPr>
      <w:r>
        <w:rPr>
          <w:rFonts w:ascii="Calibri" w:cs="Calibri" w:eastAsia="Calibri" w:hAnsi="Calibri"/>
          <w:b/>
          <w:bCs/>
          <w:i w:val="false"/>
          <w:iCs w:val="false"/>
          <w:color w:val="64748B"/>
          <w:sz w:val="20"/>
          <w:szCs w:val="20"/>
        </w:rPr>
        <w:t xml:space="preserve">TOURS PANASUR E.I.R.L.</w:t>
      </w:r>
    </w:p>
    <w:p>
      <w:pPr>
        <w:spacing w:after="200" w:before="0" w:line="276"/>
        <w:jc w:val="center"/>
      </w:pPr>
      <w:r>
        <w:rPr>
          <w:rFonts w:ascii="Calibri" w:cs="Calibri" w:eastAsia="Calibri" w:hAnsi="Calibri"/>
          <w:b w:val="false"/>
          <w:bCs w:val="false"/>
          <w:i w:val="false"/>
          <w:iCs w:val="false"/>
          <w:color w:val="64748B"/>
          <w:sz w:val="16"/>
          <w:szCs w:val="16"/>
        </w:rPr>
        <w:t xml:space="preserve">RUC: 20259263230</w:t>
      </w:r>
    </w:p>
    <w:p>
      <w:pPr>
        <w:spacing w:before="150" w:after="0"/>
      </w:pPr>
    </w:p>
    <w:p>
      <w:pPr>
        <w:spacing w:after="200" w:before="0" w:line="276"/>
        <w:jc w:val="center"/>
      </w:pPr>
      <w:r>
        <w:rPr>
          <w:rFonts w:ascii="Calibri" w:cs="Calibri" w:eastAsia="Calibri" w:hAnsi="Calibri"/>
          <w:b/>
          <w:bCs/>
          <w:i w:val="false"/>
          <w:iCs w:val="false"/>
          <w:color w:val="1a6b4e"/>
          <w:sz w:val="32"/>
          <w:szCs w:val="32"/>
        </w:rPr>
        <w:t xml:space="preserve">PROCEDIMIENTO DE TRABAJOS DE ALTO RIESGO</w:t>
      </w:r>
    </w:p>
    <w:p>
      <w:pPr>
        <w:spacing w:before="100" w:after="0"/>
      </w:pPr>
    </w:p>
    <w:p>
      <w:pPr>
        <w:spacing w:after="120" w:before="0" w:line="276"/>
        <w:jc w:val="center"/>
      </w:pPr>
      <w:r>
        <w:rPr>
          <w:rFonts w:ascii="Calibri" w:cs="Calibri" w:eastAsia="Calibri" w:hAnsi="Calibri"/>
          <w:b w:val="false"/>
          <w:bCs w:val="false"/>
          <w:i/>
          <w:iCs/>
          <w:color w:val="64748B"/>
          <w:sz w:val="18"/>
          <w:szCs w:val="18"/>
        </w:rPr>
        <w:t xml:space="preserve">Area: SST | Normas: ISO 45001:2018 (8.1.2), DS 024-2016-EM (Art. 119-133), G.050</w:t>
      </w:r>
    </w:p>
    <w:p>
      <w:pPr>
        <w:spacing w:before="4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Codigo</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TP-PRO-SST-004</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Version</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1.0</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Fecha de Emision</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08 de Marzo de 2026</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Elaborado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INNOVAQ SOLUTIONS SAC</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Revisado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Giancarlo Huamani Calero — Ing. SST</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Aprobado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Timoteo Huamani — Gerente General</w:t>
            </w:r>
          </w:p>
        </w:tc>
      </w:tr>
    </w:tbl>
    <w:p>
      <w:r>
        <w:br w:type="page"/>
      </w:r>
    </w:p>
    <w:p>
      <w:pPr>
        <w:pStyle w:val="Heading1"/>
        <w:spacing w:before="360" w:after="200"/>
      </w:pPr>
      <w:r>
        <w:rPr>
          <w:rFonts w:ascii="Calibri" w:cs="Calibri" w:eastAsia="Calibri" w:hAnsi="Calibri"/>
          <w:b/>
          <w:bCs/>
          <w:color w:val="1a6b4e"/>
          <w:sz w:val="30"/>
          <w:szCs w:val="30"/>
        </w:rPr>
        <w:t xml:space="preserve">Control de Cambios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5826"/>
        <w:gridCol w:w="1500"/>
      </w:tblGrid>
      <w:tr>
        <w:tc>
          <w:tcPr>
            <w:tcW w:type="dxa" w:w="6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Ver.</w:t>
            </w:r>
          </w:p>
        </w:tc>
        <w:tc>
          <w:tcPr>
            <w:tcW w:type="dxa" w:w="11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Fecha</w:t>
            </w:r>
          </w:p>
        </w:tc>
        <w:tc>
          <w:tcPr>
            <w:tcW w:type="dxa" w:w="582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Descripcion</w:t>
            </w:r>
          </w:p>
        </w:tc>
        <w:tc>
          <w:tcPr>
            <w:tcW w:type="dxa" w:w="15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Responsable</w:t>
            </w:r>
          </w:p>
        </w:tc>
      </w:tr>
      <w:tr>
        <w:tc>
          <w:tcPr>
            <w:tcW w:type="dxa" w:w="6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1.0</w:t>
            </w:r>
          </w:p>
        </w:tc>
        <w:tc>
          <w:tcPr>
            <w:tcW w:type="dxa" w:w="11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08/03/2026</w:t>
            </w:r>
          </w:p>
        </w:tc>
        <w:tc>
          <w:tcPr>
            <w:tcW w:type="dxa" w:w="58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Emision inicial</w:t>
            </w:r>
          </w:p>
        </w:tc>
        <w:tc>
          <w:tcPr>
            <w:tcW w:type="dxa" w:w="1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INNOVAQ SOLUTIONS</w:t>
            </w:r>
          </w:p>
        </w:tc>
      </w:tr>
    </w:tbl>
    <w:p>
      <w:r>
        <w:br w:type="page"/>
      </w:r>
    </w:p>
    <w:p>
      <w:pPr>
        <w:pStyle w:val="Heading1"/>
        <w:spacing w:before="360" w:after="200"/>
      </w:pPr>
      <w:r>
        <w:rPr>
          <w:rFonts w:ascii="Calibri" w:cs="Calibri" w:eastAsia="Calibri" w:hAnsi="Calibri"/>
          <w:b/>
          <w:bCs/>
          <w:color w:val="1a6b4e"/>
          <w:sz w:val="30"/>
          <w:szCs w:val="30"/>
        </w:rPr>
        <w:t xml:space="preserve">1. Objetivo</w:t>
      </w:r>
    </w:p>
    <w:p>
      <w:pPr>
        <w:spacing w:after="120" w:before="0" w:line="276"/>
        <w:jc w:val="both"/>
      </w:pPr>
      <w:r>
        <w:rPr>
          <w:rFonts w:ascii="Calibri" w:cs="Calibri" w:eastAsia="Calibri" w:hAnsi="Calibri"/>
          <w:b w:val="false"/>
          <w:bCs w:val="false"/>
          <w:i w:val="false"/>
          <w:iCs w:val="false"/>
          <w:color w:val="1E293B"/>
          <w:sz w:val="20"/>
          <w:szCs w:val="20"/>
        </w:rPr>
        <w:t xml:space="preserve">Establecer los controles obligatorios para la ejecucion segura de trabajos de alto riesgo en las operaciones de Tours Panasur, incluyendo trabajos en altura, espacios confinados, trabajos en caliente, izaje de cargas y excavaciones profundas.</w:t>
      </w:r>
    </w:p>
    <w:p>
      <w:pPr>
        <w:pStyle w:val="Heading1"/>
        <w:spacing w:before="360" w:after="200"/>
      </w:pPr>
      <w:r>
        <w:rPr>
          <w:rFonts w:ascii="Calibri" w:cs="Calibri" w:eastAsia="Calibri" w:hAnsi="Calibri"/>
          <w:b/>
          <w:bCs/>
          <w:color w:val="1a6b4e"/>
          <w:sz w:val="30"/>
          <w:szCs w:val="30"/>
        </w:rPr>
        <w:t xml:space="preserve">2. Alcance</w:t>
      </w:r>
    </w:p>
    <w:p>
      <w:pPr>
        <w:spacing w:after="120" w:before="0" w:line="276"/>
        <w:jc w:val="both"/>
      </w:pPr>
      <w:r>
        <w:rPr>
          <w:rFonts w:ascii="Calibri" w:cs="Calibri" w:eastAsia="Calibri" w:hAnsi="Calibri"/>
          <w:b w:val="false"/>
          <w:bCs w:val="false"/>
          <w:i w:val="false"/>
          <w:iCs w:val="false"/>
          <w:color w:val="1E293B"/>
          <w:sz w:val="20"/>
          <w:szCs w:val="20"/>
        </w:rPr>
        <w:t xml:space="preserve">Aplica a toda actividad clasificada como de alto riesgo segun la Ley 29783 y DS 024-2016-EM.</w:t>
      </w:r>
    </w:p>
    <w:p>
      <w:pPr>
        <w:pStyle w:val="Heading1"/>
        <w:spacing w:before="360" w:after="200"/>
      </w:pPr>
      <w:r>
        <w:rPr>
          <w:rFonts w:ascii="Calibri" w:cs="Calibri" w:eastAsia="Calibri" w:hAnsi="Calibri"/>
          <w:b/>
          <w:bCs/>
          <w:color w:val="1a6b4e"/>
          <w:sz w:val="30"/>
          <w:szCs w:val="30"/>
        </w:rPr>
        <w:t xml:space="preserve">3. Referencias Normativas</w:t>
      </w:r>
    </w:p>
    <w:p>
      <w:pPr>
        <w:spacing w:after="120" w:before="0" w:line="276"/>
        <w:jc w:val="both"/>
      </w:pPr>
      <w:r>
        <w:rPr>
          <w:rFonts w:ascii="Calibri" w:cs="Calibri" w:eastAsia="Calibri" w:hAnsi="Calibri"/>
          <w:b w:val="false"/>
          <w:bCs w:val="false"/>
          <w:i w:val="false"/>
          <w:iCs w:val="false"/>
          <w:color w:val="1E293B"/>
          <w:sz w:val="20"/>
          <w:szCs w:val="20"/>
        </w:rPr>
        <w:t xml:space="preserve">ISO 45001:2018 (8.1.2), DS 024-2016-EM (Art. 119-133), G.050</w:t>
      </w:r>
    </w:p>
    <w:p>
      <w:pPr>
        <w:pStyle w:val="Heading1"/>
        <w:spacing w:before="360" w:after="200"/>
      </w:pPr>
      <w:r>
        <w:rPr>
          <w:rFonts w:ascii="Calibri" w:cs="Calibri" w:eastAsia="Calibri" w:hAnsi="Calibri"/>
          <w:b/>
          <w:bCs/>
          <w:color w:val="1a6b4e"/>
          <w:sz w:val="30"/>
          <w:szCs w:val="30"/>
        </w:rPr>
        <w:t xml:space="preserve">4. Definiciones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Termino</w:t>
            </w:r>
          </w:p>
        </w:tc>
        <w:tc>
          <w:tcPr>
            <w:tcW w:type="dxa" w:w="652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Definicion</w:t>
            </w:r>
          </w:p>
        </w:tc>
      </w:tr>
      <w:tr>
        <w:tc>
          <w:tcPr>
            <w:tcW w:type="dxa" w:w="2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Trabajo de Alto Riesgo</w:t>
            </w:r>
          </w:p>
        </w:tc>
        <w:tc>
          <w:tcPr>
            <w:tcW w:type="dxa" w:w="6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Actividad cuya realizacion implica un alto potencial de dano grave o mortal para el trabajador.</w:t>
            </w:r>
          </w:p>
        </w:tc>
      </w:tr>
      <w:tr>
        <w:tc>
          <w:tcPr>
            <w:tcW w:type="dxa" w:w="25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PETAR</w:t>
            </w:r>
          </w:p>
        </w:tc>
        <w:tc>
          <w:tcPr>
            <w:tcW w:type="dxa" w:w="65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Permiso Escrito de Trabajo de Alto Riesgo. Documento obligatorio que autoriza la ejecucion del trabajo tras verificar condiciones seguras.</w:t>
            </w:r>
          </w:p>
        </w:tc>
      </w:tr>
    </w:tbl>
    <w:p>
      <w:r>
        <w:br w:type="page"/>
      </w:r>
    </w:p>
    <w:p>
      <w:pPr>
        <w:pStyle w:val="Heading1"/>
        <w:spacing w:before="360" w:after="200"/>
      </w:pPr>
      <w:r>
        <w:rPr>
          <w:rFonts w:ascii="Calibri" w:cs="Calibri" w:eastAsia="Calibri" w:hAnsi="Calibri"/>
          <w:b/>
          <w:bCs/>
          <w:color w:val="1a6b4e"/>
          <w:sz w:val="30"/>
          <w:szCs w:val="30"/>
        </w:rPr>
        <w:t xml:space="preserve">5. Responsabilidades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Rol</w:t>
            </w:r>
          </w:p>
        </w:tc>
        <w:tc>
          <w:tcPr>
            <w:tcW w:type="dxa" w:w="652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Responsabilidad</w:t>
            </w:r>
          </w:p>
        </w:tc>
      </w:tr>
      <w:tr>
        <w:tc>
          <w:tcPr>
            <w:tcW w:type="dxa" w:w="2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Ing. SST</w:t>
            </w:r>
          </w:p>
        </w:tc>
        <w:tc>
          <w:tcPr>
            <w:tcW w:type="dxa" w:w="6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Autorizar PETAR. Verificar controles implementados antes de iniciar.</w:t>
            </w:r>
          </w:p>
        </w:tc>
      </w:tr>
      <w:tr>
        <w:tc>
          <w:tcPr>
            <w:tcW w:type="dxa" w:w="25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Supervisor de Campo</w:t>
            </w:r>
          </w:p>
        </w:tc>
        <w:tc>
          <w:tcPr>
            <w:tcW w:type="dxa" w:w="65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Solicitar PETAR. Verificar condiciones en campo. Detener trabajo si cambian condiciones.</w:t>
            </w:r>
          </w:p>
        </w:tc>
      </w:tr>
      <w:tr>
        <w:tc>
          <w:tcPr>
            <w:tcW w:type="dxa" w:w="2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Trabajadores</w:t>
            </w:r>
          </w:p>
        </w:tc>
        <w:tc>
          <w:tcPr>
            <w:tcW w:type="dxa" w:w="6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Verificar que su PETAR este vigente. No iniciar sin autorizacion. DETENER si detectan condiciones inseguras.</w:t>
            </w:r>
          </w:p>
        </w:tc>
      </w:tr>
    </w:tbl>
    <w:p>
      <w:r>
        <w:br w:type="page"/>
      </w:r>
    </w:p>
    <w:p>
      <w:pPr>
        <w:pStyle w:val="Heading1"/>
        <w:spacing w:before="360" w:after="200"/>
      </w:pPr>
      <w:r>
        <w:rPr>
          <w:rFonts w:ascii="Calibri" w:cs="Calibri" w:eastAsia="Calibri" w:hAnsi="Calibri"/>
          <w:b/>
          <w:bCs/>
          <w:color w:val="1a6b4e"/>
          <w:sz w:val="30"/>
          <w:szCs w:val="30"/>
        </w:rPr>
        <w:t xml:space="preserve">6. Descripcion del Procedimiento</w:t>
      </w:r>
    </w:p>
    <w:p>
      <w:pPr>
        <w:pStyle w:val="Heading2"/>
        <w:spacing w:before="240" w:after="160"/>
      </w:pPr>
      <w:r>
        <w:rPr>
          <w:rFonts w:ascii="Calibri" w:cs="Calibri" w:eastAsia="Calibri" w:hAnsi="Calibri"/>
          <w:b/>
          <w:bCs/>
          <w:color w:val="1a6b4e"/>
          <w:sz w:val="24"/>
          <w:szCs w:val="24"/>
        </w:rPr>
        <w:t xml:space="preserve">6.1 Identificacion</w:t>
      </w:r>
    </w:p>
    <w:p>
      <w:pPr>
        <w:spacing w:after="120" w:before="0" w:line="276"/>
        <w:jc w:val="both"/>
      </w:pPr>
      <w:r>
        <w:rPr>
          <w:rFonts w:ascii="Calibri" w:cs="Calibri" w:eastAsia="Calibri" w:hAnsi="Calibri"/>
          <w:b w:val="false"/>
          <w:bCs w:val="false"/>
          <w:i w:val="false"/>
          <w:iCs w:val="false"/>
          <w:color w:val="1E293B"/>
          <w:sz w:val="20"/>
          <w:szCs w:val="20"/>
        </w:rPr>
        <w:t xml:space="preserve">El Supervisor identifica que la tarea requiere PETAR segun la lista de trabajos de alto riesgo: trabajos en altura (&gt;1.8m), espacios confinados, trabajos en caliente, izaje de cargas, excavaciones profundas (&gt;1.5m), trabajos electricos en alta tension, trabajos con explosivos.</w:t>
      </w:r>
    </w:p>
    <w:p>
      <w:pPr>
        <w:pStyle w:val="Heading2"/>
        <w:spacing w:before="240" w:after="160"/>
      </w:pPr>
      <w:r>
        <w:rPr>
          <w:rFonts w:ascii="Calibri" w:cs="Calibri" w:eastAsia="Calibri" w:hAnsi="Calibri"/>
          <w:b/>
          <w:bCs/>
          <w:color w:val="1a6b4e"/>
          <w:sz w:val="24"/>
          <w:szCs w:val="24"/>
        </w:rPr>
        <w:t xml:space="preserve">6.2 Solicitud de PETAR</w:t>
      </w:r>
    </w:p>
    <w:p>
      <w:pPr>
        <w:spacing w:after="120" w:before="0" w:line="276"/>
        <w:jc w:val="both"/>
      </w:pPr>
      <w:r>
        <w:rPr>
          <w:rFonts w:ascii="Calibri" w:cs="Calibri" w:eastAsia="Calibri" w:hAnsi="Calibri"/>
          <w:b w:val="false"/>
          <w:bCs w:val="false"/>
          <w:i w:val="false"/>
          <w:iCs w:val="false"/>
          <w:color w:val="1E293B"/>
          <w:sz w:val="20"/>
          <w:szCs w:val="20"/>
        </w:rPr>
        <w:t xml:space="preserve">El Supervisor completa el formato TP-FOR-SST-004 describiendo: trabajo a realizar, ubicacion, duracion estimada, personal involucrado, peligros identificados, controles a implementar, EPP requerido.</w:t>
      </w:r>
    </w:p>
    <w:p>
      <w:pPr>
        <w:pStyle w:val="Heading2"/>
        <w:spacing w:before="240" w:after="160"/>
      </w:pPr>
      <w:r>
        <w:rPr>
          <w:rFonts w:ascii="Calibri" w:cs="Calibri" w:eastAsia="Calibri" w:hAnsi="Calibri"/>
          <w:b/>
          <w:bCs/>
          <w:color w:val="1a6b4e"/>
          <w:sz w:val="24"/>
          <w:szCs w:val="24"/>
        </w:rPr>
        <w:t xml:space="preserve">6.3 Verificacion de Controles</w:t>
      </w:r>
    </w:p>
    <w:p>
      <w:pPr>
        <w:spacing w:after="120" w:before="0" w:line="276"/>
        <w:jc w:val="both"/>
      </w:pPr>
      <w:r>
        <w:rPr>
          <w:rFonts w:ascii="Calibri" w:cs="Calibri" w:eastAsia="Calibri" w:hAnsi="Calibri"/>
          <w:b w:val="false"/>
          <w:bCs w:val="false"/>
          <w:i w:val="false"/>
          <w:iCs w:val="false"/>
          <w:color w:val="1E293B"/>
          <w:sz w:val="20"/>
          <w:szCs w:val="20"/>
        </w:rPr>
        <w:t xml:space="preserve">El Ing. SST verifica en campo que todos los controles estan implementados: ATS completado, EPP adecuado y verificado, equipo certificado y vigente (arnes, eslingas, andamios, detector de gases), personal capacitado y certificado, area senalizada y restringida, plan de rescate disponible.</w:t>
      </w:r>
    </w:p>
    <w:p>
      <w:pPr>
        <w:pStyle w:val="Heading2"/>
        <w:spacing w:before="240" w:after="160"/>
      </w:pPr>
      <w:r>
        <w:rPr>
          <w:rFonts w:ascii="Calibri" w:cs="Calibri" w:eastAsia="Calibri" w:hAnsi="Calibri"/>
          <w:b/>
          <w:bCs/>
          <w:color w:val="1a6b4e"/>
          <w:sz w:val="24"/>
          <w:szCs w:val="24"/>
        </w:rPr>
        <w:t xml:space="preserve">6.4 Autorizacion</w:t>
      </w:r>
    </w:p>
    <w:p>
      <w:pPr>
        <w:spacing w:after="120" w:before="0" w:line="276"/>
        <w:jc w:val="both"/>
      </w:pPr>
      <w:r>
        <w:rPr>
          <w:rFonts w:ascii="Calibri" w:cs="Calibri" w:eastAsia="Calibri" w:hAnsi="Calibri"/>
          <w:b w:val="false"/>
          <w:bCs w:val="false"/>
          <w:i w:val="false"/>
          <w:iCs w:val="false"/>
          <w:color w:val="1E293B"/>
          <w:sz w:val="20"/>
          <w:szCs w:val="20"/>
        </w:rPr>
        <w:t xml:space="preserve">Si todas las condiciones son satisfactorias, el Ing. SST firma el PETAR. El PETAR tiene vigencia de un turno (8-12 horas). Debe renovarse cada turno o si cambian las condiciones.</w:t>
      </w:r>
    </w:p>
    <w:p>
      <w:pPr>
        <w:pStyle w:val="Heading2"/>
        <w:spacing w:before="240" w:after="160"/>
      </w:pPr>
      <w:r>
        <w:rPr>
          <w:rFonts w:ascii="Calibri" w:cs="Calibri" w:eastAsia="Calibri" w:hAnsi="Calibri"/>
          <w:b/>
          <w:bCs/>
          <w:color w:val="1a6b4e"/>
          <w:sz w:val="24"/>
          <w:szCs w:val="24"/>
        </w:rPr>
        <w:t xml:space="preserve">6.5 Ejecucion Controlada</w:t>
      </w:r>
    </w:p>
    <w:p>
      <w:pPr>
        <w:spacing w:after="120" w:before="0" w:line="276"/>
        <w:jc w:val="both"/>
      </w:pPr>
      <w:r>
        <w:rPr>
          <w:rFonts w:ascii="Calibri" w:cs="Calibri" w:eastAsia="Calibri" w:hAnsi="Calibri"/>
          <w:b w:val="false"/>
          <w:bCs w:val="false"/>
          <w:i w:val="false"/>
          <w:iCs w:val="false"/>
          <w:color w:val="1E293B"/>
          <w:sz w:val="20"/>
          <w:szCs w:val="20"/>
        </w:rPr>
        <w:t xml:space="preserve">El trabajo se ejecuta bajo supervision permanente. Si cambian las condiciones (clima, falla de equipo, nueva situacion), se DETIENE el trabajo y se reevalua.</w:t>
      </w:r>
    </w:p>
    <w:p>
      <w:pPr>
        <w:pStyle w:val="Heading2"/>
        <w:spacing w:before="240" w:after="160"/>
      </w:pPr>
      <w:r>
        <w:rPr>
          <w:rFonts w:ascii="Calibri" w:cs="Calibri" w:eastAsia="Calibri" w:hAnsi="Calibri"/>
          <w:b/>
          <w:bCs/>
          <w:color w:val="1a6b4e"/>
          <w:sz w:val="24"/>
          <w:szCs w:val="24"/>
        </w:rPr>
        <w:t xml:space="preserve">6.6 Cierre del PETAR</w:t>
      </w:r>
    </w:p>
    <w:p>
      <w:pPr>
        <w:spacing w:after="120" w:before="0" w:line="276"/>
        <w:jc w:val="both"/>
      </w:pPr>
      <w:r>
        <w:rPr>
          <w:rFonts w:ascii="Calibri" w:cs="Calibri" w:eastAsia="Calibri" w:hAnsi="Calibri"/>
          <w:b w:val="false"/>
          <w:bCs w:val="false"/>
          <w:i w:val="false"/>
          <w:iCs w:val="false"/>
          <w:color w:val="1E293B"/>
          <w:sz w:val="20"/>
          <w:szCs w:val="20"/>
        </w:rPr>
        <w:t xml:space="preserve">Al finalizar el trabajo, el Supervisor cierra el PETAR verificando: area limpia y restaurada, equipos retirados, personal completo, formato archivado.</w:t>
      </w:r>
    </w:p>
    <w:p>
      <w:r>
        <w:br w:type="page"/>
      </w:r>
    </w:p>
    <w:p>
      <w:pPr>
        <w:pStyle w:val="Heading1"/>
        <w:spacing w:before="360" w:after="200"/>
      </w:pPr>
      <w:r>
        <w:rPr>
          <w:rFonts w:ascii="Calibri" w:cs="Calibri" w:eastAsia="Calibri" w:hAnsi="Calibri"/>
          <w:b/>
          <w:bCs/>
          <w:color w:val="1a6b4e"/>
          <w:sz w:val="30"/>
          <w:szCs w:val="30"/>
        </w:rPr>
        <w:t xml:space="preserve">7. Registros Asociados</w:t>
      </w:r>
    </w:p>
    <w:p>
      <w:pPr>
        <w:spacing w:after="120" w:before="40" w:line="276"/>
        <w:jc w:val="both"/>
      </w:pPr>
      <w:r>
        <w:rPr>
          <w:rFonts w:ascii="Calibri" w:cs="Calibri" w:eastAsia="Calibri" w:hAnsi="Calibri"/>
          <w:b w:val="false"/>
          <w:bCs w:val="false"/>
          <w:i w:val="false"/>
          <w:iCs w:val="false"/>
          <w:color w:val="1E293B"/>
          <w:sz w:val="20"/>
          <w:szCs w:val="20"/>
        </w:rPr>
        <w:t xml:space="preserve">- TP-FOR-SST-004 (Formato PETAR)</w:t>
      </w:r>
    </w:p>
    <w:p>
      <w:pPr>
        <w:spacing w:after="120" w:before="40" w:line="276"/>
        <w:jc w:val="both"/>
      </w:pPr>
      <w:r>
        <w:rPr>
          <w:rFonts w:ascii="Calibri" w:cs="Calibri" w:eastAsia="Calibri" w:hAnsi="Calibri"/>
          <w:b w:val="false"/>
          <w:bCs w:val="false"/>
          <w:i w:val="false"/>
          <w:iCs w:val="false"/>
          <w:color w:val="1E293B"/>
          <w:sz w:val="20"/>
          <w:szCs w:val="20"/>
        </w:rPr>
        <w:t xml:space="preserve">- TP-FOR-SST-005 (ATS asociado)</w:t>
      </w:r>
    </w:p>
    <w:p>
      <w:pPr>
        <w:spacing w:after="120" w:before="40" w:line="276"/>
        <w:jc w:val="both"/>
      </w:pPr>
      <w:r>
        <w:rPr>
          <w:rFonts w:ascii="Calibri" w:cs="Calibri" w:eastAsia="Calibri" w:hAnsi="Calibri"/>
          <w:b w:val="false"/>
          <w:bCs w:val="false"/>
          <w:i w:val="false"/>
          <w:iCs w:val="false"/>
          <w:color w:val="1E293B"/>
          <w:sz w:val="20"/>
          <w:szCs w:val="20"/>
        </w:rPr>
        <w:t xml:space="preserve">- Certificados de competencia del personal</w:t>
      </w:r>
    </w:p>
    <w:p>
      <w:pPr>
        <w:spacing w:after="120" w:before="40" w:line="276"/>
        <w:jc w:val="both"/>
      </w:pPr>
      <w:r>
        <w:rPr>
          <w:rFonts w:ascii="Calibri" w:cs="Calibri" w:eastAsia="Calibri" w:hAnsi="Calibri"/>
          <w:b w:val="false"/>
          <w:bCs w:val="false"/>
          <w:i w:val="false"/>
          <w:iCs w:val="false"/>
          <w:color w:val="1E293B"/>
          <w:sz w:val="20"/>
          <w:szCs w:val="20"/>
        </w:rPr>
        <w:t xml:space="preserve">- Certificados de equipos (arnes, eslingas, andamios)</w:t>
      </w:r>
    </w:p>
    <w:p>
      <w:pPr>
        <w:spacing w:after="120" w:before="40" w:line="276"/>
        <w:jc w:val="both"/>
      </w:pPr>
      <w:r>
        <w:rPr>
          <w:rFonts w:ascii="Calibri" w:cs="Calibri" w:eastAsia="Calibri" w:hAnsi="Calibri"/>
          <w:b w:val="false"/>
          <w:bCs w:val="false"/>
          <w:i w:val="false"/>
          <w:iCs w:val="false"/>
          <w:color w:val="1E293B"/>
          <w:sz w:val="20"/>
          <w:szCs w:val="20"/>
        </w:rPr>
        <w:t xml:space="preserve">- Registro fotografico pre/post trabajo</w:t>
      </w:r>
    </w:p>
    <w:p>
      <w:pPr>
        <w:pStyle w:val="Heading1"/>
        <w:spacing w:before="360" w:after="200"/>
      </w:pPr>
      <w:r>
        <w:rPr>
          <w:rFonts w:ascii="Calibri" w:cs="Calibri" w:eastAsia="Calibri" w:hAnsi="Calibri"/>
          <w:b/>
          <w:bCs/>
          <w:color w:val="1a6b4e"/>
          <w:sz w:val="30"/>
          <w:szCs w:val="30"/>
        </w:rPr>
        <w:t xml:space="preserve">8. Indicadores de Seguimiento</w:t>
      </w:r>
    </w:p>
    <w:p>
      <w:pPr>
        <w:spacing w:after="120" w:before="40" w:line="276"/>
        <w:jc w:val="both"/>
      </w:pPr>
      <w:r>
        <w:rPr>
          <w:rFonts w:ascii="Calibri" w:cs="Calibri" w:eastAsia="Calibri" w:hAnsi="Calibri"/>
          <w:b w:val="false"/>
          <w:bCs w:val="false"/>
          <w:i w:val="false"/>
          <w:iCs w:val="false"/>
          <w:color w:val="1E293B"/>
          <w:sz w:val="20"/>
          <w:szCs w:val="20"/>
        </w:rPr>
        <w:t xml:space="preserve">- % de trabajos de alto riesgo con PETAR vigente (Meta: 100%)</w:t>
      </w:r>
    </w:p>
    <w:p>
      <w:pPr>
        <w:spacing w:after="120" w:before="40" w:line="276"/>
        <w:jc w:val="both"/>
      </w:pPr>
      <w:r>
        <w:rPr>
          <w:rFonts w:ascii="Calibri" w:cs="Calibri" w:eastAsia="Calibri" w:hAnsi="Calibri"/>
          <w:b w:val="false"/>
          <w:bCs w:val="false"/>
          <w:i w:val="false"/>
          <w:iCs w:val="false"/>
          <w:color w:val="1E293B"/>
          <w:sz w:val="20"/>
          <w:szCs w:val="20"/>
        </w:rPr>
        <w:t xml:space="preserve">- Incidentes en trabajos de alto riesgo (Meta: 0)</w:t>
      </w:r>
    </w:p>
    <w:p>
      <w:pPr>
        <w:spacing w:after="120" w:before="40" w:line="276"/>
        <w:jc w:val="both"/>
      </w:pPr>
      <w:r>
        <w:rPr>
          <w:rFonts w:ascii="Calibri" w:cs="Calibri" w:eastAsia="Calibri" w:hAnsi="Calibri"/>
          <w:b w:val="false"/>
          <w:bCs w:val="false"/>
          <w:i w:val="false"/>
          <w:iCs w:val="false"/>
          <w:color w:val="1E293B"/>
          <w:sz w:val="20"/>
          <w:szCs w:val="20"/>
        </w:rPr>
        <w:t xml:space="preserve">- % de equipos de seguridad certificados y vigentes (Meta: 100%)</w:t>
      </w:r>
    </w:p>
    <w:p>
      <w:r>
        <w:br w:type="page"/>
      </w:r>
    </w:p>
    <w:p>
      <w:pPr>
        <w:pStyle w:val="Heading1"/>
        <w:spacing w:before="360" w:after="200"/>
      </w:pPr>
      <w:r>
        <w:rPr>
          <w:rFonts w:ascii="Calibri" w:cs="Calibri" w:eastAsia="Calibri" w:hAnsi="Calibri"/>
          <w:b/>
          <w:bCs/>
          <w:color w:val="1a6b4e"/>
          <w:sz w:val="30"/>
          <w:szCs w:val="30"/>
        </w:rPr>
        <w:t xml:space="preserve">9. Firmas de Aprobacion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8"/>
                <w:szCs w:val="18"/>
              </w:rPr>
              <w:t xml:space="preserve">Elaborado por</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8"/>
                <w:szCs w:val="18"/>
              </w:rPr>
              <w:t xml:space="preserve">Revisado por</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8"/>
                <w:szCs w:val="18"/>
              </w:rPr>
              <w:t xml:space="preserve">Aprobado por</w:t>
            </w:r>
          </w:p>
        </w:tc>
      </w:tr>
      <w:tr>
        <w:tc>
          <w:tcPr>
            <w:tcW w:type="dxa" w:w="3008"/>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INNOVAQ SOLUTIONS SAC
Consultor SIG</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Giancarlo Huamani Calero
Ingeniero SST</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Timoteo Huamani
Gerente General</w:t>
            </w:r>
          </w:p>
        </w:tc>
      </w:tr>
      <w:tr>
        <w:tc>
          <w:tcPr>
            <w:tcW w:type="dxa" w:w="3008"/>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Firma: ______________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Firma: ______________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Firma: ______________</w:t>
            </w:r>
          </w:p>
        </w:tc>
      </w:tr>
      <w:tr>
        <w:tc>
          <w:tcPr>
            <w:tcW w:type="dxa" w:w="3008"/>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Fecha: ___/___/2026</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Fecha: ___/___/2026</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Fecha: ___/___/2026</w:t>
            </w:r>
          </w:p>
        </w:tc>
      </w:tr>
    </w:tbl>
    <w:p>
      <w:pPr>
        <w:spacing w:before="200" w:after="0"/>
      </w:pPr>
    </w:p>
    <w:p>
      <w:pPr>
        <w:spacing w:after="120" w:before="0" w:line="276"/>
        <w:jc w:val="center"/>
      </w:pPr>
      <w:r>
        <w:rPr>
          <w:rFonts w:ascii="Calibri" w:cs="Calibri" w:eastAsia="Calibri" w:hAnsi="Calibri"/>
          <w:b w:val="false"/>
          <w:bCs w:val="false"/>
          <w:i/>
          <w:iCs/>
          <w:color w:val="64748B"/>
          <w:sz w:val="16"/>
          <w:szCs w:val="16"/>
        </w:rPr>
        <w:t xml:space="preserve">Powered by INNOVAQ SOLUTIONS SAC | contacto@innovaqsolution.com</w:t>
      </w:r>
    </w:p>
    <w:sectPr>
      <w:headerReference w:type="default" r:id="rId6"/>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D9CE" w:sz="1" w:space="4"/>
      </w:pBdr>
      <w:tabs>
        <w:tab w:val="right" w:pos="9026"/>
      </w:tabs>
      <w:spacing w:after="0"/>
    </w:pPr>
    <w:r>
      <w:rPr>
        <w:rFonts w:ascii="Calibri" w:cs="Calibri" w:eastAsia="Calibri" w:hAnsi="Calibri"/>
        <w:color w:val="64748B"/>
        <w:sz w:val="13"/>
        <w:szCs w:val="13"/>
      </w:rPr>
      <w:t xml:space="preserve">Confidencial — Tours Panasur E.I.R.L.</w:t>
    </w:r>
    <w:r>
      <w:t xml:space="preserve">	Pag </w:t>
    </w:r>
    <w:r>
      <w:rPr>
        <w:rFonts w:ascii="Calibri" w:cs="Calibri" w:eastAsia="Calibri" w:hAnsi="Calibri"/>
        <w:color w:val="64748B"/>
        <w:sz w:val="13"/>
        <w:szCs w:val="13"/>
      </w:rPr>
      <w:fldChar w:fldCharType="begin"/>
      <w:instrText xml:space="preserve">PAGE</w:instrText>
      <w:fldChar w:fldCharType="separate"/>
      <w:fldChar w:fldCharType="end"/>
    </w:r>
    <w:r>
      <w:rPr>
        <w:rFonts w:ascii="Calibri" w:cs="Calibri" w:eastAsia="Calibri" w:hAnsi="Calibri"/>
        <w:color w:val="64748B"/>
        <w:sz w:val="13"/>
        <w:szCs w:val="13"/>
      </w:rPr>
      <w:t xml:space="preserve"> / </w:t>
    </w:r>
    <w:r>
      <w:rPr>
        <w:rFonts w:ascii="Calibri" w:cs="Calibri" w:eastAsia="Calibri" w:hAnsi="Calibri"/>
        <w:color w:val="64748B"/>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4e" w:sz="2" w:space="4"/>
      </w:pBdr>
      <w:tabs>
        <w:tab w:val="right" w:pos="9026"/>
      </w:tabs>
      <w:spacing w:after="0"/>
    </w:pPr>
    <w:r>
      <w:rPr>
        <w:rFonts w:ascii="Calibri" w:cs="Calibri" w:eastAsia="Calibri" w:hAnsi="Calibri"/>
        <w:b/>
        <w:bCs/>
        <w:color w:val="1a6b4e"/>
        <w:sz w:val="15"/>
        <w:szCs w:val="15"/>
      </w:rPr>
      <w:t xml:space="preserve">TOURS PANASUR E.I.R.L.</w:t>
    </w:r>
    <w:r>
      <w:rPr>
        <w:rFonts w:ascii="Calibri" w:cs="Calibri" w:eastAsia="Calibri" w:hAnsi="Calibri"/>
        <w:color w:val="64748B"/>
        <w:sz w:val="13"/>
        <w:szCs w:val="13"/>
      </w:rPr>
      <w:t xml:space="preserve">	TP-PRO-SST-004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a6b4e"/>
      <w:sz w:val="30"/>
      <w:szCs w:val="30"/>
    </w:rPr>
  </w:style>
  <w:style w:type="paragraph" w:styleId="Heading2">
    <w:name w:val="Heading 2"/>
    <w:basedOn w:val="Normal"/>
    <w:next w:val="Normal"/>
    <w:qFormat/>
    <w:pPr>
      <w:spacing w:before="240" w:after="160"/>
      <w:outlineLvl w:val="1"/>
    </w:pPr>
    <w:rPr>
      <w:rFonts w:ascii="Calibri" w:cs="Calibri" w:eastAsia="Calibri" w:hAnsi="Calibri"/>
      <w:b/>
      <w:bCs/>
      <w:color w:val="1a6b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2026-03-08T10:57:05.350Z</dcterms:created>
  <dcterms:modified xsi:type="dcterms:W3CDTF">2026-03-08T10:57:05.350Z</dcterms:modified>
</cp:coreProperties>
</file>

<file path=docProps/custom.xml><?xml version="1.0" encoding="utf-8"?>
<Properties xmlns="http://schemas.openxmlformats.org/officeDocument/2006/custom-properties" xmlns:vt="http://schemas.openxmlformats.org/officeDocument/2006/docPropsVTypes"/>
</file>