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after="120" w:before="0" w:line="276"/>
        <w:jc w:val="center"/>
      </w:pPr>
      <w:r>
        <w:rPr>
          <w:rFonts w:ascii="Calibri" w:cs="Calibri" w:eastAsia="Calibri" w:hAnsi="Calibri"/>
          <w:b/>
          <w:bCs/>
          <w:i w:val="false"/>
          <w:iCs w:val="false"/>
          <w:color w:val="64748B"/>
          <w:sz w:val="20"/>
          <w:szCs w:val="20"/>
        </w:rPr>
        <w:t xml:space="preserve">TOURS PANASUR E.I.R.L.</w:t>
      </w:r>
    </w:p>
    <w:p>
      <w:pPr>
        <w:spacing w:after="200" w:before="0" w:line="276"/>
        <w:jc w:val="center"/>
      </w:pPr>
      <w:r>
        <w:rPr>
          <w:rFonts w:ascii="Calibri" w:cs="Calibri" w:eastAsia="Calibri" w:hAnsi="Calibri"/>
          <w:b w:val="false"/>
          <w:bCs w:val="false"/>
          <w:i w:val="false"/>
          <w:iCs w:val="false"/>
          <w:color w:val="64748B"/>
          <w:sz w:val="16"/>
          <w:szCs w:val="16"/>
        </w:rPr>
        <w:t xml:space="preserve">RUC: 20259263230</w:t>
      </w:r>
    </w:p>
    <w:p>
      <w:pPr>
        <w:spacing w:before="100" w:after="0"/>
      </w:pPr>
    </w:p>
    <w:p>
      <w:pPr>
        <w:spacing w:after="200" w:before="0" w:line="276"/>
        <w:jc w:val="center"/>
      </w:pPr>
      <w:r>
        <w:rPr>
          <w:rFonts w:ascii="Calibri" w:cs="Calibri" w:eastAsia="Calibri" w:hAnsi="Calibri"/>
          <w:b/>
          <w:bCs/>
          <w:i w:val="false"/>
          <w:iCs w:val="false"/>
          <w:color w:val="1a6b4e"/>
          <w:sz w:val="30"/>
          <w:szCs w:val="30"/>
        </w:rPr>
        <w:t xml:space="preserve">MAPA DE RIESGOS CRITICOS POR RUTA</w:t>
      </w:r>
    </w:p>
    <w:p>
      <w:pPr>
        <w:spacing w:before="60" w:after="0"/>
      </w:pPr>
    </w:p>
    <w:p>
      <w:pPr>
        <w:spacing w:after="120" w:before="0" w:line="276"/>
        <w:jc w:val="center"/>
      </w:pPr>
      <w:r>
        <w:rPr>
          <w:rFonts w:ascii="Calibri" w:cs="Calibri" w:eastAsia="Calibri" w:hAnsi="Calibri"/>
          <w:b w:val="false"/>
          <w:bCs w:val="false"/>
          <w:i/>
          <w:iCs/>
          <w:color w:val="64748B"/>
          <w:sz w:val="16"/>
          <w:szCs w:val="16"/>
        </w:rPr>
        <w:t xml:space="preserve">Area: SST | ISO 45001 (6.1.2), DS 024-2016-EM</w:t>
      </w:r>
    </w:p>
    <w:p>
      <w:pPr>
        <w:spacing w:before="3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Codigo</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TP-MAT-SST-003</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Version</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1.0</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Fecha</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08 de Marzo de 2026</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Elaborado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INNOVAQ SOLUTIONS SAC</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Revisado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Giancarlo Huamani Calero</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Aprobado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Timoteo Huamani</w:t>
            </w:r>
          </w:p>
        </w:tc>
      </w:tr>
    </w:tbl>
    <w:p>
      <w:r>
        <w:br w:type="page"/>
      </w:r>
    </w:p>
    <w:p>
      <w:pPr>
        <w:pStyle w:val="Heading1"/>
        <w:spacing w:before="360" w:after="200"/>
      </w:pPr>
      <w:r>
        <w:rPr>
          <w:rFonts w:ascii="Calibri" w:cs="Calibri" w:eastAsia="Calibri" w:hAnsi="Calibri"/>
          <w:b/>
          <w:bCs/>
          <w:color w:val="1a6b4e"/>
          <w:sz w:val="28"/>
          <w:szCs w:val="28"/>
        </w:rPr>
        <w:t xml:space="preserve">1. Objetivo</w:t>
      </w:r>
    </w:p>
    <w:p>
      <w:pPr>
        <w:spacing w:after="120" w:before="0" w:line="276"/>
        <w:jc w:val="both"/>
      </w:pPr>
      <w:r>
        <w:rPr>
          <w:rFonts w:ascii="Calibri" w:cs="Calibri" w:eastAsia="Calibri" w:hAnsi="Calibri"/>
          <w:b w:val="false"/>
          <w:bCs w:val="false"/>
          <w:i w:val="false"/>
          <w:iCs w:val="false"/>
          <w:color w:val="1E293B"/>
          <w:sz w:val="20"/>
          <w:szCs w:val="20"/>
        </w:rPr>
        <w:t xml:space="preserve">Identificar y documentar los puntos criticos de riesgo en las rutas de transporte operadas por Tours Panasur, permitiendo la implementacion de controles especificos por tramo.</w:t>
      </w:r>
    </w:p>
    <w:p>
      <w:pPr>
        <w:pStyle w:val="Heading1"/>
        <w:spacing w:before="360" w:after="200"/>
      </w:pPr>
      <w:r>
        <w:rPr>
          <w:rFonts w:ascii="Calibri" w:cs="Calibri" w:eastAsia="Calibri" w:hAnsi="Calibri"/>
          <w:b/>
          <w:bCs/>
          <w:color w:val="1a6b4e"/>
          <w:sz w:val="28"/>
          <w:szCs w:val="28"/>
        </w:rPr>
        <w:t xml:space="preserve">2. Rutas Operativas</w:t>
      </w:r>
    </w:p>
    <w:p>
      <w:pPr>
        <w:spacing w:after="120" w:before="0" w:line="276"/>
        <w:jc w:val="both"/>
      </w:pPr>
      <w:r>
        <w:rPr>
          <w:rFonts w:ascii="Calibri" w:cs="Calibri" w:eastAsia="Calibri" w:hAnsi="Calibri"/>
          <w:b w:val="false"/>
          <w:bCs w:val="false"/>
          <w:i w:val="false"/>
          <w:iCs w:val="false"/>
          <w:color w:val="1E293B"/>
          <w:sz w:val="20"/>
          <w:szCs w:val="20"/>
        </w:rPr>
        <w:t xml:space="preserve">Ruta 1: Base Arequipa — Proyecto San Gabriel (Challhuahuacho, Apurimac). Distancia: ~600 km. Altitud maxima: 5,000 msnm. Ruta 2: Base Arequipa — Cerro Verde (SMCV). Distancia: ~30 km. Ruta 3: Rutas internas dentro de proyectos de clientes.</w:t>
      </w:r>
    </w:p>
    <w:p>
      <w:pPr>
        <w:pStyle w:val="Heading1"/>
        <w:spacing w:before="360" w:after="200"/>
      </w:pPr>
      <w:r>
        <w:rPr>
          <w:rFonts w:ascii="Calibri" w:cs="Calibri" w:eastAsia="Calibri" w:hAnsi="Calibri"/>
          <w:b/>
          <w:bCs/>
          <w:color w:val="1a6b4e"/>
          <w:sz w:val="28"/>
          <w:szCs w:val="28"/>
        </w:rPr>
        <w:t xml:space="preserve">3. Puntos Criticos — Ruta San Gabriel</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Km</w:t>
            </w:r>
          </w:p>
        </w:tc>
        <w:tc>
          <w:tcPr>
            <w:tcW w:type="dxa" w:w="225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Descripcion</w:t>
            </w:r>
          </w:p>
        </w:tc>
        <w:tc>
          <w:tcPr>
            <w:tcW w:type="dxa" w:w="225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Riesgo</w:t>
            </w:r>
          </w:p>
        </w:tc>
        <w:tc>
          <w:tcPr>
            <w:tcW w:type="dxa" w:w="225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Control</w:t>
            </w:r>
          </w:p>
        </w:tc>
      </w:tr>
      <w:tr>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Km 0-50</w:t>
            </w:r>
          </w:p>
        </w:tc>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Salida urbana Arequipa</w:t>
            </w:r>
          </w:p>
        </w:tc>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Trafico vehicular, peatones</w:t>
            </w:r>
          </w:p>
        </w:tc>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Velocidad &lt;40 km/h, atencion a senalizacion</w:t>
            </w:r>
          </w:p>
        </w:tc>
      </w:tr>
      <w:tr>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Km 50-150</w:t>
            </w:r>
          </w:p>
        </w:tc>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Ruta costera/pampa</w:t>
            </w:r>
          </w:p>
        </w:tc>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Viento lateral, somnoloencia</w:t>
            </w:r>
          </w:p>
        </w:tc>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Paradas de descanso, limitar velocidad con viento &gt;40 km/h</w:t>
            </w:r>
          </w:p>
        </w:tc>
      </w:tr>
      <w:tr>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Km 150-300</w:t>
            </w:r>
          </w:p>
        </w:tc>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Ascenso a sierra</w:t>
            </w:r>
          </w:p>
        </w:tc>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Curvas cerradas, pendientes &gt;10%</w:t>
            </w:r>
          </w:p>
        </w:tc>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Velocidad &lt;20 km/h en curvas, uso de freno motor, vigias</w:t>
            </w:r>
          </w:p>
        </w:tc>
      </w:tr>
      <w:tr>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Km 300-450</w:t>
            </w:r>
          </w:p>
        </w:tc>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Zona de altitud &gt;4,000 msnm</w:t>
            </w:r>
          </w:p>
        </w:tc>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Mal de altura, niebla, tormenta electrica</w:t>
            </w:r>
          </w:p>
        </w:tc>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Monitoreo SpO2, detenerse si tormenta, cadenas si nieve</w:t>
            </w:r>
          </w:p>
        </w:tc>
      </w:tr>
      <w:tr>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Km 450-550</w:t>
            </w:r>
          </w:p>
        </w:tc>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Zona de mina / obra</w:t>
            </w:r>
          </w:p>
        </w:tc>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Interaccion con equipos del cliente</w:t>
            </w:r>
          </w:p>
        </w:tc>
        <w:tc>
          <w:tcPr>
            <w:tcW w:type="dxa" w:w="225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Comunicacion radial, velocidad &lt;15 km/h, vigias en cruces</w:t>
            </w:r>
          </w:p>
        </w:tc>
      </w:tr>
      <w:tr>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Km 550-600</w:t>
            </w:r>
          </w:p>
        </w:tc>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Zona de deposito de relaves</w:t>
            </w:r>
          </w:p>
        </w:tc>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Derrame potencial, borde de deposito</w:t>
            </w:r>
          </w:p>
        </w:tc>
        <w:tc>
          <w:tcPr>
            <w:tcW w:type="dxa" w:w="225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Vigia permanente, retroceso controlado, kit anti-derrame</w:t>
            </w:r>
          </w:p>
        </w:tc>
      </w:tr>
    </w:tbl>
    <w:p>
      <w:pPr>
        <w:pStyle w:val="Heading1"/>
        <w:spacing w:before="360" w:after="200"/>
      </w:pPr>
      <w:r>
        <w:rPr>
          <w:rFonts w:ascii="Calibri" w:cs="Calibri" w:eastAsia="Calibri" w:hAnsi="Calibri"/>
          <w:b/>
          <w:bCs/>
          <w:color w:val="1a6b4e"/>
          <w:sz w:val="28"/>
          <w:szCs w:val="28"/>
        </w:rPr>
        <w:t xml:space="preserve">4. Senalizacion en Ruta</w:t>
      </w:r>
    </w:p>
    <w:p>
      <w:pPr>
        <w:spacing w:after="120" w:before="0" w:line="276"/>
        <w:jc w:val="both"/>
      </w:pPr>
      <w:r>
        <w:rPr>
          <w:rFonts w:ascii="Calibri" w:cs="Calibri" w:eastAsia="Calibri" w:hAnsi="Calibri"/>
          <w:b w:val="false"/>
          <w:bCs w:val="false"/>
          <w:i w:val="false"/>
          <w:iCs w:val="false"/>
          <w:color w:val="1E293B"/>
          <w:sz w:val="20"/>
          <w:szCs w:val="20"/>
        </w:rPr>
        <w:t xml:space="preserve">Tours Panasur coordinara con los clientes la senalizacion de puntos criticos en las rutas que opera. Se instalaran senales informativas (velocidad maxima, curva peligrosa, zona de derrumbes) en los tramos bajo responsabilidad de la empresa.</w:t>
      </w:r>
    </w:p>
    <w:p>
      <w:r>
        <w:br w:type="page"/>
      </w:r>
    </w:p>
    <w:p>
      <w:pPr>
        <w:pStyle w:val="Heading1"/>
        <w:spacing w:before="360" w:after="200"/>
      </w:pPr>
      <w:r>
        <w:rPr>
          <w:rFonts w:ascii="Calibri" w:cs="Calibri" w:eastAsia="Calibri" w:hAnsi="Calibri"/>
          <w:b/>
          <w:bCs/>
          <w:color w:val="1a6b4e"/>
          <w:sz w:val="28"/>
          <w:szCs w:val="28"/>
        </w:rPr>
        <w:t xml:space="preserve">Firmas de Aprobacion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Elaborado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Revisado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Aprobado por</w:t>
            </w:r>
          </w:p>
        </w:tc>
      </w:tr>
      <w:tr>
        <w:tc>
          <w:tcPr>
            <w:tcW w:type="dxa" w:w="3008"/>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INNOVAQ SOLUTIONS
Consultor SIG</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Giancarlo Huamani C.
Ing. SST</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Timoteo Huamani
Gerente General</w:t>
            </w:r>
          </w:p>
        </w:tc>
      </w:tr>
      <w:tr>
        <w:tc>
          <w:tcPr>
            <w:tcW w:type="dxa" w:w="3008"/>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______________</w:t>
            </w:r>
          </w:p>
        </w:tc>
      </w:tr>
    </w:tbl>
    <w:sectPr>
      <w:headerReference w:type="default" r:id="rId6"/>
      <w:footerReference w:type="default" r:id="rId7"/>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D9CE" w:sz="1" w:space="4"/>
      </w:pBdr>
      <w:tabs>
        <w:tab w:val="right" w:pos="9026"/>
      </w:tabs>
      <w:spacing w:after="0"/>
    </w:pPr>
    <w:r>
      <w:rPr>
        <w:rFonts w:ascii="Calibri" w:cs="Calibri" w:eastAsia="Calibri" w:hAnsi="Calibri"/>
        <w:color w:val="64748B"/>
        <w:sz w:val="12"/>
        <w:szCs w:val="12"/>
      </w:rPr>
      <w:t xml:space="preserve">Confidencial — Tours Panasur E.I.R.L.</w:t>
    </w:r>
    <w:r>
      <w:t xml:space="preserve">	Pag </w:t>
    </w:r>
    <w:r>
      <w:rPr>
        <w:rFonts w:ascii="Calibri" w:cs="Calibri" w:eastAsia="Calibri" w:hAnsi="Calibri"/>
        <w:color w:val="64748B"/>
        <w:sz w:val="12"/>
        <w:szCs w:val="12"/>
      </w:rPr>
      <w:fldChar w:fldCharType="begin"/>
      <w:instrText xml:space="preserve">PAGE</w:instrText>
      <w:fldChar w:fldCharType="separate"/>
      <w:fldChar w:fldCharType="end"/>
    </w:r>
    <w:r>
      <w:rPr>
        <w:rFonts w:ascii="Calibri" w:cs="Calibri" w:eastAsia="Calibri" w:hAnsi="Calibri"/>
        <w:color w:val="64748B"/>
        <w:sz w:val="12"/>
        <w:szCs w:val="12"/>
      </w:rPr>
      <w:t xml:space="preserve"> / </w:t>
    </w:r>
    <w:r>
      <w:rPr>
        <w:rFonts w:ascii="Calibri" w:cs="Calibri" w:eastAsia="Calibri" w:hAnsi="Calibri"/>
        <w:color w:val="64748B"/>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e" w:sz="2" w:space="4"/>
      </w:pBdr>
      <w:tabs>
        <w:tab w:val="right" w:pos="9026"/>
      </w:tabs>
      <w:spacing w:after="0"/>
    </w:pPr>
    <w:r>
      <w:rPr>
        <w:rFonts w:ascii="Calibri" w:cs="Calibri" w:eastAsia="Calibri" w:hAnsi="Calibri"/>
        <w:b/>
        <w:bCs/>
        <w:color w:val="1a6b4e"/>
        <w:sz w:val="14"/>
        <w:szCs w:val="14"/>
      </w:rPr>
      <w:t xml:space="preserve">TOURS PANASUR E.I.R.L.</w:t>
    </w:r>
    <w:r>
      <w:rPr>
        <w:rFonts w:ascii="Calibri" w:cs="Calibri" w:eastAsia="Calibri" w:hAnsi="Calibri"/>
        <w:color w:val="64748B"/>
        <w:sz w:val="12"/>
        <w:szCs w:val="12"/>
      </w:rPr>
      <w:t xml:space="preserve">	TP-MAT-SST-003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6b4e"/>
      <w:sz w:val="28"/>
      <w:szCs w:val="28"/>
    </w:rPr>
  </w:style>
  <w:style w:type="paragraph" w:styleId="Heading2">
    <w:name w:val="Heading 2"/>
    <w:basedOn w:val="Normal"/>
    <w:next w:val="Normal"/>
    <w:qFormat/>
    <w:pPr>
      <w:spacing w:before="240" w:after="140"/>
      <w:outlineLvl w:val="1"/>
    </w:pPr>
    <w:rPr>
      <w:rFonts w:ascii="Calibri" w:cs="Calibri" w:eastAsia="Calibri" w:hAnsi="Calibri"/>
      <w:b/>
      <w:bCs/>
      <w:color w:val="1a6b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2026-03-08T11:07:57.036Z</dcterms:created>
  <dcterms:modified xsi:type="dcterms:W3CDTF">2026-03-08T11:07:57.036Z</dcterms:modified>
</cp:coreProperties>
</file>

<file path=docProps/custom.xml><?xml version="1.0" encoding="utf-8"?>
<Properties xmlns="http://schemas.openxmlformats.org/officeDocument/2006/custom-properties" xmlns:vt="http://schemas.openxmlformats.org/officeDocument/2006/docPropsVTypes"/>
</file>