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spacing w:after="120" w:before="0" w:line="276"/>
        <w:jc w:val="center"/>
      </w:pPr>
      <w:r>
        <w:rPr>
          <w:rFonts w:ascii="Calibri" w:cs="Calibri" w:eastAsia="Calibri" w:hAnsi="Calibri"/>
          <w:b/>
          <w:bCs/>
          <w:i w:val="false"/>
          <w:iCs w:val="false"/>
          <w:color w:val="64748B"/>
          <w:sz w:val="18"/>
          <w:szCs w:val="18"/>
        </w:rPr>
        <w:t xml:space="preserve">TOURS PANASUR E.I.R.L.</w:t>
      </w:r>
    </w:p>
    <w:p>
      <w:pPr>
        <w:spacing w:before="80" w:after="0"/>
      </w:pPr>
    </w:p>
    <w:p>
      <w:pPr>
        <w:spacing w:after="100" w:before="0" w:line="276"/>
        <w:jc w:val="center"/>
      </w:pPr>
      <w:r>
        <w:rPr>
          <w:rFonts w:ascii="Calibri" w:cs="Calibri" w:eastAsia="Calibri" w:hAnsi="Calibri"/>
          <w:b/>
          <w:bCs/>
          <w:i w:val="false"/>
          <w:iCs w:val="false"/>
          <w:color w:val="1a6b4e"/>
          <w:sz w:val="28"/>
          <w:szCs w:val="28"/>
        </w:rPr>
        <w:t xml:space="preserve">PETS — TRANSPORTE DE CARGA POR CARRETERA</w:t>
      </w:r>
    </w:p>
    <w:p>
      <w:pPr>
        <w:spacing w:after="120" w:before="0" w:line="276"/>
        <w:jc w:val="center"/>
      </w:pPr>
      <w:r>
        <w:rPr>
          <w:rFonts w:ascii="Calibri" w:cs="Calibri" w:eastAsia="Calibri" w:hAnsi="Calibri"/>
          <w:b w:val="false"/>
          <w:bCs w:val="false"/>
          <w:i/>
          <w:iCs/>
          <w:color w:val="64748B"/>
          <w:sz w:val="16"/>
          <w:szCs w:val="16"/>
        </w:rPr>
        <w:t xml:space="preserve">Actividad: Transporte de carga general y materiales</w:t>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Codigo</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TP-PET-OPE-001</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Version</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1.0</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Fecha</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08/03/2026</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Elaborado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INNOVAQ SOLUTIONS SAC</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Aprobado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Timoteo Huamani — Gerente General</w:t>
            </w:r>
          </w:p>
        </w:tc>
      </w:tr>
    </w:tbl>
    <w:p>
      <w:r>
        <w:br w:type="page"/>
      </w:r>
    </w:p>
    <w:p>
      <w:pPr>
        <w:pStyle w:val="Heading1"/>
        <w:spacing w:before="300" w:after="160"/>
      </w:pPr>
      <w:r>
        <w:rPr>
          <w:rFonts w:ascii="Calibri" w:cs="Calibri" w:eastAsia="Calibri" w:hAnsi="Calibri"/>
          <w:b/>
          <w:bCs/>
          <w:color w:val="1a6b4e"/>
          <w:sz w:val="26"/>
          <w:szCs w:val="26"/>
        </w:rPr>
        <w:t xml:space="preserve">1. Personal Requerido</w:t>
      </w:r>
    </w:p>
    <w:p>
      <w:pPr>
        <w:spacing w:after="120" w:before="0" w:line="276"/>
        <w:jc w:val="both"/>
      </w:pPr>
      <w:r>
        <w:rPr>
          <w:rFonts w:ascii="Calibri" w:cs="Calibri" w:eastAsia="Calibri" w:hAnsi="Calibri"/>
          <w:b w:val="false"/>
          <w:bCs w:val="false"/>
          <w:i w:val="false"/>
          <w:iCs w:val="false"/>
          <w:color w:val="1E293B"/>
          <w:sz w:val="20"/>
          <w:szCs w:val="20"/>
        </w:rPr>
        <w:t xml:space="preserve">Operador de volquete (Licencia AIIB/AIIIB), Vigia/Cuadrador (en zona de carga/descarga)</w:t>
      </w:r>
    </w:p>
    <w:p>
      <w:pPr>
        <w:pStyle w:val="Heading1"/>
        <w:spacing w:before="300" w:after="160"/>
      </w:pPr>
      <w:r>
        <w:rPr>
          <w:rFonts w:ascii="Calibri" w:cs="Calibri" w:eastAsia="Calibri" w:hAnsi="Calibri"/>
          <w:b/>
          <w:bCs/>
          <w:color w:val="1a6b4e"/>
          <w:sz w:val="26"/>
          <w:szCs w:val="26"/>
        </w:rPr>
        <w:t xml:space="preserve">2. EPP Requerido</w:t>
      </w:r>
    </w:p>
    <w:p>
      <w:pPr>
        <w:spacing w:after="120" w:before="20" w:line="276"/>
        <w:jc w:val="both"/>
      </w:pPr>
      <w:r>
        <w:rPr>
          <w:rFonts w:ascii="Calibri" w:cs="Calibri" w:eastAsia="Calibri" w:hAnsi="Calibri"/>
          <w:b w:val="false"/>
          <w:bCs w:val="false"/>
          <w:i w:val="false"/>
          <w:iCs w:val="false"/>
          <w:color w:val="1E293B"/>
          <w:sz w:val="20"/>
          <w:szCs w:val="20"/>
        </w:rPr>
        <w:t xml:space="preserve">  - Casco con barbiquejo</w:t>
      </w:r>
    </w:p>
    <w:p>
      <w:pPr>
        <w:spacing w:after="120" w:before="20" w:line="276"/>
        <w:jc w:val="both"/>
      </w:pPr>
      <w:r>
        <w:rPr>
          <w:rFonts w:ascii="Calibri" w:cs="Calibri" w:eastAsia="Calibri" w:hAnsi="Calibri"/>
          <w:b w:val="false"/>
          <w:bCs w:val="false"/>
          <w:i w:val="false"/>
          <w:iCs w:val="false"/>
          <w:color w:val="1E293B"/>
          <w:sz w:val="20"/>
          <w:szCs w:val="20"/>
        </w:rPr>
        <w:t xml:space="preserve">  - Lentes de seguridad</w:t>
      </w:r>
    </w:p>
    <w:p>
      <w:pPr>
        <w:spacing w:after="120" w:before="20" w:line="276"/>
        <w:jc w:val="both"/>
      </w:pPr>
      <w:r>
        <w:rPr>
          <w:rFonts w:ascii="Calibri" w:cs="Calibri" w:eastAsia="Calibri" w:hAnsi="Calibri"/>
          <w:b w:val="false"/>
          <w:bCs w:val="false"/>
          <w:i w:val="false"/>
          <w:iCs w:val="false"/>
          <w:color w:val="1E293B"/>
          <w:sz w:val="20"/>
          <w:szCs w:val="20"/>
        </w:rPr>
        <w:t xml:space="preserve">  - Botas punta de acero</w:t>
      </w:r>
    </w:p>
    <w:p>
      <w:pPr>
        <w:spacing w:after="120" w:before="20" w:line="276"/>
        <w:jc w:val="both"/>
      </w:pPr>
      <w:r>
        <w:rPr>
          <w:rFonts w:ascii="Calibri" w:cs="Calibri" w:eastAsia="Calibri" w:hAnsi="Calibri"/>
          <w:b w:val="false"/>
          <w:bCs w:val="false"/>
          <w:i w:val="false"/>
          <w:iCs w:val="false"/>
          <w:color w:val="1E293B"/>
          <w:sz w:val="20"/>
          <w:szCs w:val="20"/>
        </w:rPr>
        <w:t xml:space="preserve">  - Guantes de badana</w:t>
      </w:r>
    </w:p>
    <w:p>
      <w:pPr>
        <w:spacing w:after="120" w:before="20" w:line="276"/>
        <w:jc w:val="both"/>
      </w:pPr>
      <w:r>
        <w:rPr>
          <w:rFonts w:ascii="Calibri" w:cs="Calibri" w:eastAsia="Calibri" w:hAnsi="Calibri"/>
          <w:b w:val="false"/>
          <w:bCs w:val="false"/>
          <w:i w:val="false"/>
          <w:iCs w:val="false"/>
          <w:color w:val="1E293B"/>
          <w:sz w:val="20"/>
          <w:szCs w:val="20"/>
        </w:rPr>
        <w:t xml:space="preserve">  - Chaleco reflectivo Clase 2</w:t>
      </w:r>
    </w:p>
    <w:p>
      <w:pPr>
        <w:spacing w:after="120" w:before="20" w:line="276"/>
        <w:jc w:val="both"/>
      </w:pPr>
      <w:r>
        <w:rPr>
          <w:rFonts w:ascii="Calibri" w:cs="Calibri" w:eastAsia="Calibri" w:hAnsi="Calibri"/>
          <w:b w:val="false"/>
          <w:bCs w:val="false"/>
          <w:i w:val="false"/>
          <w:iCs w:val="false"/>
          <w:color w:val="1E293B"/>
          <w:sz w:val="20"/>
          <w:szCs w:val="20"/>
        </w:rPr>
        <w:t xml:space="preserve">  - Proteccion auditiva (tapones)</w:t>
      </w:r>
    </w:p>
    <w:p>
      <w:pPr>
        <w:spacing w:after="120" w:before="20" w:line="276"/>
        <w:jc w:val="both"/>
      </w:pPr>
      <w:r>
        <w:rPr>
          <w:rFonts w:ascii="Calibri" w:cs="Calibri" w:eastAsia="Calibri" w:hAnsi="Calibri"/>
          <w:b w:val="false"/>
          <w:bCs w:val="false"/>
          <w:i w:val="false"/>
          <w:iCs w:val="false"/>
          <w:color w:val="1E293B"/>
          <w:sz w:val="20"/>
          <w:szCs w:val="20"/>
        </w:rPr>
        <w:t xml:space="preserve">  - Bloqueador solar FPS 50+</w:t>
      </w:r>
    </w:p>
    <w:p>
      <w:pPr>
        <w:pStyle w:val="Heading1"/>
        <w:spacing w:before="300" w:after="160"/>
      </w:pPr>
      <w:r>
        <w:rPr>
          <w:rFonts w:ascii="Calibri" w:cs="Calibri" w:eastAsia="Calibri" w:hAnsi="Calibri"/>
          <w:b/>
          <w:bCs/>
          <w:color w:val="1a6b4e"/>
          <w:sz w:val="26"/>
          <w:szCs w:val="26"/>
        </w:rPr>
        <w:t xml:space="preserve">3. Herramientas y Equipos</w:t>
      </w:r>
    </w:p>
    <w:p>
      <w:pPr>
        <w:spacing w:after="120" w:before="20" w:line="276"/>
        <w:jc w:val="both"/>
      </w:pPr>
      <w:r>
        <w:rPr>
          <w:rFonts w:ascii="Calibri" w:cs="Calibri" w:eastAsia="Calibri" w:hAnsi="Calibri"/>
          <w:b w:val="false"/>
          <w:bCs w:val="false"/>
          <w:i w:val="false"/>
          <w:iCs w:val="false"/>
          <w:color w:val="1E293B"/>
          <w:sz w:val="20"/>
          <w:szCs w:val="20"/>
        </w:rPr>
        <w:t xml:space="preserve">  - Volquete 15 m3 con GPS y alarma retroceso</w:t>
      </w:r>
    </w:p>
    <w:p>
      <w:pPr>
        <w:spacing w:after="120" w:before="20" w:line="276"/>
        <w:jc w:val="both"/>
      </w:pPr>
      <w:r>
        <w:rPr>
          <w:rFonts w:ascii="Calibri" w:cs="Calibri" w:eastAsia="Calibri" w:hAnsi="Calibri"/>
          <w:b w:val="false"/>
          <w:bCs w:val="false"/>
          <w:i w:val="false"/>
          <w:iCs w:val="false"/>
          <w:color w:val="1E293B"/>
          <w:sz w:val="20"/>
          <w:szCs w:val="20"/>
        </w:rPr>
        <w:t xml:space="preserve">  - Extintor PQS 6 kg</w:t>
      </w:r>
    </w:p>
    <w:p>
      <w:pPr>
        <w:spacing w:after="120" w:before="20" w:line="276"/>
        <w:jc w:val="both"/>
      </w:pPr>
      <w:r>
        <w:rPr>
          <w:rFonts w:ascii="Calibri" w:cs="Calibri" w:eastAsia="Calibri" w:hAnsi="Calibri"/>
          <w:b w:val="false"/>
          <w:bCs w:val="false"/>
          <w:i w:val="false"/>
          <w:iCs w:val="false"/>
          <w:color w:val="1E293B"/>
          <w:sz w:val="20"/>
          <w:szCs w:val="20"/>
        </w:rPr>
        <w:t xml:space="preserve">  - Botiquin primeros auxilios</w:t>
      </w:r>
    </w:p>
    <w:p>
      <w:pPr>
        <w:spacing w:after="120" w:before="20" w:line="276"/>
        <w:jc w:val="both"/>
      </w:pPr>
      <w:r>
        <w:rPr>
          <w:rFonts w:ascii="Calibri" w:cs="Calibri" w:eastAsia="Calibri" w:hAnsi="Calibri"/>
          <w:b w:val="false"/>
          <w:bCs w:val="false"/>
          <w:i w:val="false"/>
          <w:iCs w:val="false"/>
          <w:color w:val="1E293B"/>
          <w:sz w:val="20"/>
          <w:szCs w:val="20"/>
        </w:rPr>
        <w:t xml:space="preserve">  - Triangulos de seguridad (3)</w:t>
      </w:r>
    </w:p>
    <w:p>
      <w:pPr>
        <w:spacing w:after="120" w:before="20" w:line="276"/>
        <w:jc w:val="both"/>
      </w:pPr>
      <w:r>
        <w:rPr>
          <w:rFonts w:ascii="Calibri" w:cs="Calibri" w:eastAsia="Calibri" w:hAnsi="Calibri"/>
          <w:b w:val="false"/>
          <w:bCs w:val="false"/>
          <w:i w:val="false"/>
          <w:iCs w:val="false"/>
          <w:color w:val="1E293B"/>
          <w:sz w:val="20"/>
          <w:szCs w:val="20"/>
        </w:rPr>
        <w:t xml:space="preserve">  - Conos de seguridad (4)</w:t>
      </w:r>
    </w:p>
    <w:p>
      <w:pPr>
        <w:spacing w:after="120" w:before="20" w:line="276"/>
        <w:jc w:val="both"/>
      </w:pPr>
      <w:r>
        <w:rPr>
          <w:rFonts w:ascii="Calibri" w:cs="Calibri" w:eastAsia="Calibri" w:hAnsi="Calibri"/>
          <w:b w:val="false"/>
          <w:bCs w:val="false"/>
          <w:i w:val="false"/>
          <w:iCs w:val="false"/>
          <w:color w:val="1E293B"/>
          <w:sz w:val="20"/>
          <w:szCs w:val="20"/>
        </w:rPr>
        <w:t xml:space="preserve">  - Cunas para ruedas (2)</w:t>
      </w:r>
    </w:p>
    <w:p>
      <w:pPr>
        <w:spacing w:after="120" w:before="20" w:line="276"/>
        <w:jc w:val="both"/>
      </w:pPr>
      <w:r>
        <w:rPr>
          <w:rFonts w:ascii="Calibri" w:cs="Calibri" w:eastAsia="Calibri" w:hAnsi="Calibri"/>
          <w:b w:val="false"/>
          <w:bCs w:val="false"/>
          <w:i w:val="false"/>
          <w:iCs w:val="false"/>
          <w:color w:val="1E293B"/>
          <w:sz w:val="20"/>
          <w:szCs w:val="20"/>
        </w:rPr>
        <w:t xml:space="preserve">  - Linterna</w:t>
      </w:r>
    </w:p>
    <w:p>
      <w:pPr>
        <w:spacing w:after="120" w:before="20" w:line="276"/>
        <w:jc w:val="both"/>
      </w:pPr>
      <w:r>
        <w:rPr>
          <w:rFonts w:ascii="Calibri" w:cs="Calibri" w:eastAsia="Calibri" w:hAnsi="Calibri"/>
          <w:b w:val="false"/>
          <w:bCs w:val="false"/>
          <w:i w:val="false"/>
          <w:iCs w:val="false"/>
          <w:color w:val="1E293B"/>
          <w:sz w:val="20"/>
          <w:szCs w:val="20"/>
        </w:rPr>
        <w:t xml:space="preserve">  - Radio de comunicacion</w:t>
      </w:r>
    </w:p>
    <w:p>
      <w:pPr>
        <w:pStyle w:val="Heading1"/>
        <w:spacing w:before="300" w:after="160"/>
      </w:pPr>
      <w:r>
        <w:rPr>
          <w:rFonts w:ascii="Calibri" w:cs="Calibri" w:eastAsia="Calibri" w:hAnsi="Calibri"/>
          <w:b/>
          <w:bCs/>
          <w:color w:val="1a6b4e"/>
          <w:sz w:val="26"/>
          <w:szCs w:val="26"/>
        </w:rPr>
        <w:t xml:space="preserve">4. Pre-Requisitos</w:t>
      </w:r>
    </w:p>
    <w:p>
      <w:pPr>
        <w:spacing w:after="120" w:before="20" w:line="276"/>
        <w:jc w:val="both"/>
      </w:pPr>
      <w:r>
        <w:rPr>
          <w:rFonts w:ascii="Calibri" w:cs="Calibri" w:eastAsia="Calibri" w:hAnsi="Calibri"/>
          <w:b w:val="false"/>
          <w:bCs w:val="false"/>
          <w:i w:val="false"/>
          <w:iCs w:val="false"/>
          <w:color w:val="1E293B"/>
          <w:sz w:val="20"/>
          <w:szCs w:val="20"/>
        </w:rPr>
        <w:t xml:space="preserve">  - Check-list pre-uso (TP-FOR-SST-001) completado y APROBADO</w:t>
      </w:r>
    </w:p>
    <w:p>
      <w:pPr>
        <w:spacing w:after="120" w:before="20" w:line="276"/>
        <w:jc w:val="both"/>
      </w:pPr>
      <w:r>
        <w:rPr>
          <w:rFonts w:ascii="Calibri" w:cs="Calibri" w:eastAsia="Calibri" w:hAnsi="Calibri"/>
          <w:b w:val="false"/>
          <w:bCs w:val="false"/>
          <w:i w:val="false"/>
          <w:iCs w:val="false"/>
          <w:color w:val="1E293B"/>
          <w:sz w:val="20"/>
          <w:szCs w:val="20"/>
        </w:rPr>
        <w:t xml:space="preserve">  - ATS del dia completado (TP-FOR-SST-005)</w:t>
      </w:r>
    </w:p>
    <w:p>
      <w:pPr>
        <w:spacing w:after="120" w:before="20" w:line="276"/>
        <w:jc w:val="both"/>
      </w:pPr>
      <w:r>
        <w:rPr>
          <w:rFonts w:ascii="Calibri" w:cs="Calibri" w:eastAsia="Calibri" w:hAnsi="Calibri"/>
          <w:b w:val="false"/>
          <w:bCs w:val="false"/>
          <w:i w:val="false"/>
          <w:iCs w:val="false"/>
          <w:color w:val="1E293B"/>
          <w:sz w:val="20"/>
          <w:szCs w:val="20"/>
        </w:rPr>
        <w:t xml:space="preserve">  - Licencia de conducir vigente</w:t>
      </w:r>
    </w:p>
    <w:p>
      <w:pPr>
        <w:spacing w:after="120" w:before="20" w:line="276"/>
        <w:jc w:val="both"/>
      </w:pPr>
      <w:r>
        <w:rPr>
          <w:rFonts w:ascii="Calibri" w:cs="Calibri" w:eastAsia="Calibri" w:hAnsi="Calibri"/>
          <w:b w:val="false"/>
          <w:bCs w:val="false"/>
          <w:i w:val="false"/>
          <w:iCs w:val="false"/>
          <w:color w:val="1E293B"/>
          <w:sz w:val="20"/>
          <w:szCs w:val="20"/>
        </w:rPr>
        <w:t xml:space="preserve">  - EMO vigente con aptitud para conduccion</w:t>
      </w:r>
    </w:p>
    <w:p>
      <w:pPr>
        <w:spacing w:after="120" w:before="20" w:line="276"/>
        <w:jc w:val="both"/>
      </w:pPr>
      <w:r>
        <w:rPr>
          <w:rFonts w:ascii="Calibri" w:cs="Calibri" w:eastAsia="Calibri" w:hAnsi="Calibri"/>
          <w:b w:val="false"/>
          <w:bCs w:val="false"/>
          <w:i w:val="false"/>
          <w:iCs w:val="false"/>
          <w:color w:val="1E293B"/>
          <w:sz w:val="20"/>
          <w:szCs w:val="20"/>
        </w:rPr>
        <w:t xml:space="preserve">  - SCTR vigente</w:t>
      </w:r>
    </w:p>
    <w:p>
      <w:pPr>
        <w:spacing w:after="120" w:before="20" w:line="276"/>
        <w:jc w:val="both"/>
      </w:pPr>
      <w:r>
        <w:rPr>
          <w:rFonts w:ascii="Calibri" w:cs="Calibri" w:eastAsia="Calibri" w:hAnsi="Calibri"/>
          <w:b w:val="false"/>
          <w:bCs w:val="false"/>
          <w:i w:val="false"/>
          <w:iCs w:val="false"/>
          <w:color w:val="1E293B"/>
          <w:sz w:val="20"/>
          <w:szCs w:val="20"/>
        </w:rPr>
        <w:t xml:space="preserve">  - Ruta programada y comunicada al Supervisor</w:t>
      </w:r>
    </w:p>
    <w:p>
      <w:pPr>
        <w:spacing w:after="120" w:before="20" w:line="276"/>
        <w:jc w:val="both"/>
      </w:pPr>
      <w:r>
        <w:rPr>
          <w:rFonts w:ascii="Calibri" w:cs="Calibri" w:eastAsia="Calibri" w:hAnsi="Calibri"/>
          <w:b w:val="false"/>
          <w:bCs w:val="false"/>
          <w:i w:val="false"/>
          <w:iCs w:val="false"/>
          <w:color w:val="1E293B"/>
          <w:sz w:val="20"/>
          <w:szCs w:val="20"/>
        </w:rPr>
        <w:t xml:space="preserve">  - Condiciones climaticas evaluadas (no operar con visibilidad &lt;50m, tormenta electrica o nevada)</w:t>
      </w:r>
    </w:p>
    <w:p>
      <w:r>
        <w:br w:type="page"/>
      </w:r>
    </w:p>
    <w:p>
      <w:pPr>
        <w:pStyle w:val="Heading1"/>
        <w:spacing w:before="300" w:after="160"/>
      </w:pPr>
      <w:r>
        <w:rPr>
          <w:rFonts w:ascii="Calibri" w:cs="Calibri" w:eastAsia="Calibri" w:hAnsi="Calibri"/>
          <w:b/>
          <w:bCs/>
          <w:color w:val="1a6b4e"/>
          <w:sz w:val="26"/>
          <w:szCs w:val="26"/>
        </w:rPr>
        <w:t xml:space="preserve">5. Procedimiento Paso a Paso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526"/>
        <w:gridCol w:w="2100"/>
        <w:gridCol w:w="2200"/>
      </w:tblGrid>
      <w:tr>
        <w:tc>
          <w:tcPr>
            <w:tcW w:type="dxa" w:w="1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Paso</w:t>
            </w:r>
          </w:p>
        </w:tc>
        <w:tc>
          <w:tcPr>
            <w:tcW w:type="dxa" w:w="3526"/>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Descripcion</w:t>
            </w:r>
          </w:p>
        </w:tc>
        <w:tc>
          <w:tcPr>
            <w:tcW w:type="dxa" w:w="21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Riesgo Asociado</w:t>
            </w:r>
          </w:p>
        </w:tc>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Control</w:t>
            </w:r>
          </w:p>
        </w:tc>
      </w:tr>
      <w:tr>
        <w:tc>
          <w:tcPr>
            <w:tcW w:type="dxa" w:w="12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Verificacion Pre-Operacion</w:t>
            </w:r>
          </w:p>
        </w:tc>
        <w:tc>
          <w:tcPr>
            <w:tcW w:type="dxa" w:w="35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 Completar check-list pre-uso (TP-FOR-SST-001): frenos, luces, llantas, niveles, instrumentos, espejos, cinturon, bocina, alarma retroceso, extintor, botiquin, triangulos. 2. Si detecta falla critica: NO operar. Reportar al mecanico y Supervisor. 3. Encender GPS y verificar comunicacion radial.</w:t>
            </w:r>
          </w:p>
        </w:tc>
        <w:tc>
          <w:tcPr>
            <w:tcW w:type="dxa" w:w="21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Falla mecanica en ruta, colision</w:t>
            </w:r>
          </w:p>
        </w:tc>
        <w:tc>
          <w:tcPr>
            <w:tcW w:type="dxa" w:w="22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Inspeccion diaria, mantenimiento preventivo</w:t>
            </w:r>
          </w:p>
        </w:tc>
      </w:tr>
      <w:tr>
        <w:tc>
          <w:tcPr>
            <w:tcW w:type="dxa" w:w="12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Carga del Vehiculo</w:t>
            </w:r>
          </w:p>
        </w:tc>
        <w:tc>
          <w:tcPr>
            <w:tcW w:type="dxa" w:w="352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 Posicionar vehiculo en zona de carga segun indicacion del vigia. 2. Verificar que la carga no exceda capacidad nominal del volquete. 3. Asegurar distribucion uniforme de la carga. 4. Verificar que la tolva cierre completamente. 5. Obtener autorizacion de despacho.</w:t>
            </w:r>
          </w:p>
        </w:tc>
        <w:tc>
          <w:tcPr>
            <w:tcW w:type="dxa" w:w="21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Sobrecarga, desequilibrio, caida de material</w:t>
            </w:r>
          </w:p>
        </w:tc>
        <w:tc>
          <w:tcPr>
            <w:tcW w:type="dxa" w:w="22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Balanza de control, vigia, verificacion visual</w:t>
            </w:r>
          </w:p>
        </w:tc>
      </w:tr>
      <w:tr>
        <w:tc>
          <w:tcPr>
            <w:tcW w:type="dxa" w:w="12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Conduccion en Ruta</w:t>
            </w:r>
          </w:p>
        </w:tc>
        <w:tc>
          <w:tcPr>
            <w:tcW w:type="dxa" w:w="35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 Respetar limites de velocidad: zona urbana 30 km/h, carretera recta 60 km/h, curvas 20 km/h, zona de obra 15 km/h. 2. Mantener distancia de seguimiento minima 3 vehiculos. 3. Usar cinturon de seguridad permanentemente. 4. No usar telefono celular durante la conduccion. 5. Parada de descanso obligatoria cada 4 horas (minimo 15 minutos). 6. Comunicar posicion por radio cada hora. 7. En caso de neblina: encender luces, reducir velocidad, si visibilidad &lt;50m DETENERSE.</w:t>
            </w:r>
          </w:p>
        </w:tc>
        <w:tc>
          <w:tcPr>
            <w:tcW w:type="dxa" w:w="21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Volcadura, colision, atropello, fatiga</w:t>
            </w:r>
          </w:p>
        </w:tc>
        <w:tc>
          <w:tcPr>
            <w:tcW w:type="dxa" w:w="22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GPS con alerta velocidad, descansos, comunicacion</w:t>
            </w:r>
          </w:p>
        </w:tc>
      </w:tr>
      <w:tr>
        <w:tc>
          <w:tcPr>
            <w:tcW w:type="dxa" w:w="12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Descarga</w:t>
            </w:r>
          </w:p>
        </w:tc>
        <w:tc>
          <w:tcPr>
            <w:tcW w:type="dxa" w:w="352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 Ingresar a zona de descarga solo con autorizacion del vigia. 2. Posicionar vehiculo segun senales del vigia (comunicacion visual y radial). 3. Mantener minimo 3 metros del borde de talud/deposito. 4. Activar freno de estacionamiento. 5. Levantar tolva gradualmente. 6. Vigia permanece en posicion visible durante toda la maniobra. 7. Bajar tolva completamente antes de avanzar.</w:t>
            </w:r>
          </w:p>
        </w:tc>
        <w:tc>
          <w:tcPr>
            <w:tcW w:type="dxa" w:w="21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Caida a desnivel, atrapamiento, caida de material</w:t>
            </w:r>
          </w:p>
        </w:tc>
        <w:tc>
          <w:tcPr>
            <w:tcW w:type="dxa" w:w="22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Vigia permanente, distancia al borde, freno estacionamiento</w:t>
            </w:r>
          </w:p>
        </w:tc>
      </w:tr>
      <w:tr>
        <w:tc>
          <w:tcPr>
            <w:tcW w:type="dxa" w:w="12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Post-Operacion</w:t>
            </w:r>
          </w:p>
        </w:tc>
        <w:tc>
          <w:tcPr>
            <w:tcW w:type="dxa" w:w="35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 Estacionar en area designada. 2. Aplicar freno de estacionamiento y cunas. 3. Reportar kilometraje/horometro del turno. 4. Reportar cualquier anomalia detectada al Supervisor. 5. Entregar llave y radio al relevo o al Supervisor.</w:t>
            </w:r>
          </w:p>
        </w:tc>
        <w:tc>
          <w:tcPr>
            <w:tcW w:type="dxa" w:w="21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w:t>
            </w:r>
          </w:p>
        </w:tc>
        <w:tc>
          <w:tcPr>
            <w:tcW w:type="dxa" w:w="22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Reporte de fin de turno</w:t>
            </w:r>
          </w:p>
        </w:tc>
      </w:tr>
    </w:tbl>
    <w:p>
      <w:pPr>
        <w:pStyle w:val="Heading1"/>
        <w:spacing w:before="300" w:after="160"/>
      </w:pPr>
      <w:r>
        <w:rPr>
          <w:rFonts w:ascii="Calibri" w:cs="Calibri" w:eastAsia="Calibri" w:hAnsi="Calibri"/>
          <w:b/>
          <w:bCs/>
          <w:color w:val="1a6b4e"/>
          <w:sz w:val="26"/>
          <w:szCs w:val="26"/>
        </w:rPr>
        <w:t xml:space="preserve">6. Restricciones y Prohibiciones</w:t>
      </w:r>
    </w:p>
    <w:p>
      <w:pPr>
        <w:spacing w:after="120" w:before="20" w:line="276"/>
        <w:jc w:val="both"/>
      </w:pPr>
      <w:r>
        <w:rPr>
          <w:rFonts w:ascii="Calibri" w:cs="Calibri" w:eastAsia="Calibri" w:hAnsi="Calibri"/>
          <w:b/>
          <w:bCs/>
          <w:i w:val="false"/>
          <w:iCs w:val="false"/>
          <w:color w:val="DC2626"/>
          <w:sz w:val="20"/>
          <w:szCs w:val="20"/>
        </w:rPr>
        <w:t xml:space="preserve">PROHIBIDO operar bajo efectos de alcohol o drogas (tolerancia CERO).</w:t>
      </w:r>
    </w:p>
    <w:p>
      <w:pPr>
        <w:spacing w:after="120" w:before="20" w:line="276"/>
        <w:jc w:val="both"/>
      </w:pPr>
      <w:r>
        <w:rPr>
          <w:rFonts w:ascii="Calibri" w:cs="Calibri" w:eastAsia="Calibri" w:hAnsi="Calibri"/>
          <w:b/>
          <w:bCs/>
          <w:i w:val="false"/>
          <w:iCs w:val="false"/>
          <w:color w:val="DC2626"/>
          <w:sz w:val="20"/>
          <w:szCs w:val="20"/>
        </w:rPr>
        <w:t xml:space="preserve">PROHIBIDO exceder limites de velocidad bajo cualquier circunstancia.</w:t>
      </w:r>
    </w:p>
    <w:p>
      <w:pPr>
        <w:spacing w:after="120" w:before="20" w:line="276"/>
        <w:jc w:val="both"/>
      </w:pPr>
      <w:r>
        <w:rPr>
          <w:rFonts w:ascii="Calibri" w:cs="Calibri" w:eastAsia="Calibri" w:hAnsi="Calibri"/>
          <w:b/>
          <w:bCs/>
          <w:i w:val="false"/>
          <w:iCs w:val="false"/>
          <w:color w:val="DC2626"/>
          <w:sz w:val="20"/>
          <w:szCs w:val="20"/>
        </w:rPr>
        <w:t xml:space="preserve">PROHIBIDO operar con fatiga o somnolencia — DETENER vehiculo en zona segura.</w:t>
      </w:r>
    </w:p>
    <w:p>
      <w:pPr>
        <w:spacing w:after="120" w:before="20" w:line="276"/>
        <w:jc w:val="both"/>
      </w:pPr>
      <w:r>
        <w:rPr>
          <w:rFonts w:ascii="Calibri" w:cs="Calibri" w:eastAsia="Calibri" w:hAnsi="Calibri"/>
          <w:b/>
          <w:bCs/>
          <w:i w:val="false"/>
          <w:iCs w:val="false"/>
          <w:color w:val="DC2626"/>
          <w:sz w:val="20"/>
          <w:szCs w:val="20"/>
        </w:rPr>
        <w:t xml:space="preserve">PROHIBIDO transportar pasajeros no autorizados.</w:t>
      </w:r>
    </w:p>
    <w:p>
      <w:pPr>
        <w:spacing w:after="120" w:before="20" w:line="276"/>
        <w:jc w:val="both"/>
      </w:pPr>
      <w:r>
        <w:rPr>
          <w:rFonts w:ascii="Calibri" w:cs="Calibri" w:eastAsia="Calibri" w:hAnsi="Calibri"/>
          <w:b/>
          <w:bCs/>
          <w:i w:val="false"/>
          <w:iCs w:val="false"/>
          <w:color w:val="DC2626"/>
          <w:sz w:val="20"/>
          <w:szCs w:val="20"/>
        </w:rPr>
        <w:t xml:space="preserve">PROHIBIDO operar con check-list pre-uso no aprobado.</w:t>
      </w:r>
    </w:p>
    <w:p>
      <w:pPr>
        <w:spacing w:after="120" w:before="20" w:line="276"/>
        <w:jc w:val="both"/>
      </w:pPr>
      <w:r>
        <w:rPr>
          <w:rFonts w:ascii="Calibri" w:cs="Calibri" w:eastAsia="Calibri" w:hAnsi="Calibri"/>
          <w:b/>
          <w:bCs/>
          <w:i w:val="false"/>
          <w:iCs w:val="false"/>
          <w:color w:val="DC2626"/>
          <w:sz w:val="20"/>
          <w:szCs w:val="20"/>
        </w:rPr>
        <w:t xml:space="preserve">PROHIBIDO realizar maniobras de retroceso sin vigia en zona de obra.</w:t>
      </w:r>
    </w:p>
    <w:p>
      <w:pPr>
        <w:spacing w:after="120" w:before="20" w:line="276"/>
        <w:jc w:val="both"/>
      </w:pPr>
      <w:r>
        <w:rPr>
          <w:rFonts w:ascii="Calibri" w:cs="Calibri" w:eastAsia="Calibri" w:hAnsi="Calibri"/>
          <w:b/>
          <w:bCs/>
          <w:i w:val="false"/>
          <w:iCs w:val="false"/>
          <w:color w:val="DC2626"/>
          <w:sz w:val="20"/>
          <w:szCs w:val="20"/>
        </w:rPr>
        <w:t xml:space="preserve">DETENER operacion inmediatamente ante: tormenta electrica, nevada, neblina densa, falla mecanica, condicion insegura.</w:t>
      </w:r>
    </w:p>
    <w:p>
      <w:pPr>
        <w:pStyle w:val="Heading1"/>
        <w:spacing w:before="300" w:after="160"/>
      </w:pPr>
      <w:r>
        <w:rPr>
          <w:rFonts w:ascii="Calibri" w:cs="Calibri" w:eastAsia="Calibri" w:hAnsi="Calibri"/>
          <w:b/>
          <w:bCs/>
          <w:color w:val="1a6b4e"/>
          <w:sz w:val="26"/>
          <w:szCs w:val="26"/>
        </w:rPr>
        <w:t xml:space="preserve">7. Respuesta a Emergencias</w:t>
      </w:r>
    </w:p>
    <w:p>
      <w:pPr>
        <w:spacing w:after="120" w:before="0" w:line="276"/>
        <w:jc w:val="both"/>
      </w:pPr>
      <w:r>
        <w:rPr>
          <w:rFonts w:ascii="Calibri" w:cs="Calibri" w:eastAsia="Calibri" w:hAnsi="Calibri"/>
          <w:b w:val="false"/>
          <w:bCs w:val="false"/>
          <w:i w:val="false"/>
          <w:iCs w:val="false"/>
          <w:color w:val="1E293B"/>
          <w:sz w:val="20"/>
          <w:szCs w:val="20"/>
        </w:rPr>
        <w:t xml:space="preserve">Volcadura: Detener otros vehiculos, senalizar a 50m, no mover al herido (excepto riesgo de incendio), reportar al Supervisor, activar cadena de emergencias (TP-PLA-SST-002). Derrame: Contener con kit anti-derrame, reportar al Ing. SST. Falla mecanica: Estacionar en berma/pullover, senalizar, reportar al Supervisor y mecanico.</w:t>
      </w:r>
    </w:p>
    <w:p>
      <w:r>
        <w:br w:type="page"/>
      </w:r>
    </w:p>
    <w:p>
      <w:pPr>
        <w:pStyle w:val="Heading1"/>
        <w:spacing w:before="300" w:after="160"/>
      </w:pPr>
      <w:r>
        <w:rPr>
          <w:rFonts w:ascii="Calibri" w:cs="Calibri" w:eastAsia="Calibri" w:hAnsi="Calibri"/>
          <w:b/>
          <w:bCs/>
          <w:color w:val="1a6b4e"/>
          <w:sz w:val="26"/>
          <w:szCs w:val="26"/>
        </w:rPr>
        <w:t xml:space="preserve">8. Firmas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7"/>
                <w:szCs w:val="17"/>
              </w:rPr>
              <w:t xml:space="preserve">Elaborado</w:t>
            </w:r>
          </w:p>
        </w:tc>
        <w:tc>
          <w:tcPr>
            <w:tcW w:type="dxa" w:w="3009"/>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7"/>
                <w:szCs w:val="17"/>
              </w:rPr>
              <w:t xml:space="preserve">Revisado</w:t>
            </w:r>
          </w:p>
        </w:tc>
        <w:tc>
          <w:tcPr>
            <w:tcW w:type="dxa" w:w="3009"/>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7"/>
                <w:szCs w:val="17"/>
              </w:rPr>
              <w:t xml:space="preserve">Aprobado</w:t>
            </w:r>
          </w:p>
        </w:tc>
      </w:tr>
      <w:tr>
        <w:tc>
          <w:tcPr>
            <w:tcW w:type="dxa" w:w="3008"/>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INNOVAQ SOLUTIONS</w:t>
            </w:r>
          </w:p>
        </w:tc>
        <w:tc>
          <w:tcPr>
            <w:tcW w:type="dxa" w:w="3009"/>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Giancarlo Huamani C.
Ing. SST</w:t>
            </w:r>
          </w:p>
        </w:tc>
        <w:tc>
          <w:tcPr>
            <w:tcW w:type="dxa" w:w="3009"/>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Timoteo Huamani
Gerente General</w:t>
            </w:r>
          </w:p>
        </w:tc>
      </w:tr>
      <w:tr>
        <w:tc>
          <w:tcPr>
            <w:tcW w:type="dxa" w:w="3008"/>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Firma: __________</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Firma: __________</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Firma: __________</w:t>
            </w:r>
          </w:p>
        </w:tc>
      </w:tr>
    </w:tbl>
    <w:sectPr>
      <w:headerReference w:type="default" r:id="rId6"/>
      <w:footerReference w:type="default" r:id="rId7"/>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1D9CE" w:sz="1" w:space="4"/>
      </w:pBdr>
      <w:tabs>
        <w:tab w:val="right" w:pos="9026"/>
      </w:tabs>
      <w:spacing w:after="0"/>
    </w:pPr>
    <w:r>
      <w:rPr>
        <w:rFonts w:ascii="Calibri" w:cs="Calibri" w:eastAsia="Calibri" w:hAnsi="Calibri"/>
        <w:color w:val="64748B"/>
        <w:sz w:val="12"/>
        <w:szCs w:val="12"/>
      </w:rPr>
      <w:t xml:space="preserve">Confidencial — Tours Panasur E.I.R.L.</w:t>
    </w:r>
    <w:r>
      <w:t xml:space="preserve">	Pag </w:t>
    </w:r>
    <w:r>
      <w:rPr>
        <w:rFonts w:ascii="Calibri" w:cs="Calibri" w:eastAsia="Calibri" w:hAnsi="Calibri"/>
        <w:color w:val="64748B"/>
        <w:sz w:val="12"/>
        <w:szCs w:val="12"/>
      </w:rPr>
      <w:fldChar w:fldCharType="begin"/>
      <w:instrText xml:space="preserve">PAGE</w:instrText>
      <w:fldChar w:fldCharType="separate"/>
      <w:fldChar w:fldCharType="end"/>
    </w:r>
    <w:r>
      <w:t xml:space="preserve"> / </w:t>
    </w:r>
    <w:r>
      <w:rPr>
        <w:rFonts w:ascii="Calibri" w:cs="Calibri" w:eastAsia="Calibri" w:hAnsi="Calibri"/>
        <w:color w:val="64748B"/>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4e" w:sz="2" w:space="4"/>
      </w:pBdr>
      <w:tabs>
        <w:tab w:val="right" w:pos="9026"/>
      </w:tabs>
      <w:spacing w:after="0"/>
    </w:pPr>
    <w:r>
      <w:rPr>
        <w:rFonts w:ascii="Calibri" w:cs="Calibri" w:eastAsia="Calibri" w:hAnsi="Calibri"/>
        <w:b/>
        <w:bCs/>
        <w:color w:val="1a6b4e"/>
        <w:sz w:val="14"/>
        <w:szCs w:val="14"/>
      </w:rPr>
      <w:t xml:space="preserve">TOURS PANASUR</w:t>
    </w:r>
    <w:r>
      <w:rPr>
        <w:rFonts w:ascii="Calibri" w:cs="Calibri" w:eastAsia="Calibri" w:hAnsi="Calibri"/>
        <w:color w:val="64748B"/>
        <w:sz w:val="12"/>
        <w:szCs w:val="12"/>
      </w:rPr>
      <w:t xml:space="preserve">	TP-PET-OPE-001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Calibri" w:cs="Calibri" w:eastAsia="Calibri" w:hAnsi="Calibri"/>
      <w:b/>
      <w:bCs/>
      <w:color w:val="1a6b4e"/>
      <w:sz w:val="26"/>
      <w:szCs w:val="26"/>
    </w:rPr>
  </w:style>
  <w:style w:type="paragraph" w:styleId="Heading2">
    <w:name w:val="Heading 2"/>
    <w:basedOn w:val="Normal"/>
    <w:next w:val="Normal"/>
    <w:qFormat/>
    <w:pPr>
      <w:spacing w:before="200" w:after="120"/>
      <w:outlineLvl w:val="1"/>
    </w:pPr>
    <w:rPr>
      <w:rFonts w:ascii="Calibri" w:cs="Calibri" w:eastAsia="Calibri" w:hAnsi="Calibri"/>
      <w:b/>
      <w:bCs/>
      <w:color w:val="1a6b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2026-03-08T11:12:09.151Z</dcterms:created>
  <dcterms:modified xsi:type="dcterms:W3CDTF">2026-03-08T11:12:09.151Z</dcterms:modified>
</cp:coreProperties>
</file>

<file path=docProps/custom.xml><?xml version="1.0" encoding="utf-8"?>
<Properties xmlns="http://schemas.openxmlformats.org/officeDocument/2006/custom-properties" xmlns:vt="http://schemas.openxmlformats.org/officeDocument/2006/docPropsVTypes"/>
</file>