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after="120" w:before="0" w:line="276"/>
        <w:jc w:val="center"/>
      </w:pPr>
      <w:r>
        <w:rPr>
          <w:rFonts w:ascii="Calibri" w:cs="Calibri" w:eastAsia="Calibri" w:hAnsi="Calibri"/>
          <w:b/>
          <w:bCs/>
          <w:i w:val="false"/>
          <w:iCs w:val="false"/>
          <w:color w:val="64748B"/>
          <w:sz w:val="18"/>
          <w:szCs w:val="18"/>
        </w:rPr>
        <w:t xml:space="preserve">TOURS PANASUR E.I.R.L.</w:t>
      </w:r>
    </w:p>
    <w:p>
      <w:pPr>
        <w:spacing w:before="80" w:after="0"/>
      </w:pPr>
    </w:p>
    <w:p>
      <w:pPr>
        <w:spacing w:after="100" w:before="0" w:line="276"/>
        <w:jc w:val="center"/>
      </w:pPr>
      <w:r>
        <w:rPr>
          <w:rFonts w:ascii="Calibri" w:cs="Calibri" w:eastAsia="Calibri" w:hAnsi="Calibri"/>
          <w:b/>
          <w:bCs/>
          <w:i w:val="false"/>
          <w:iCs w:val="false"/>
          <w:color w:val="1a6b4e"/>
          <w:sz w:val="28"/>
          <w:szCs w:val="28"/>
        </w:rPr>
        <w:t xml:space="preserve">PETS — INSTALACION DE GEOMEMBRANA HDPE</w:t>
      </w:r>
    </w:p>
    <w:p>
      <w:pPr>
        <w:spacing w:after="120" w:before="0" w:line="276"/>
        <w:jc w:val="center"/>
      </w:pPr>
      <w:r>
        <w:rPr>
          <w:rFonts w:ascii="Calibri" w:cs="Calibri" w:eastAsia="Calibri" w:hAnsi="Calibri"/>
          <w:b w:val="false"/>
          <w:bCs w:val="false"/>
          <w:i/>
          <w:iCs/>
          <w:color w:val="64748B"/>
          <w:sz w:val="16"/>
          <w:szCs w:val="16"/>
        </w:rPr>
        <w:t xml:space="preserve">Actividad: Tendido y soldadura de geomembrana de polietileno de alta densidad</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Codigo</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TP-PET-OPE-004</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Version</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1.0</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Fecha</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08/03/2026</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Elaborado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INNOVAQ SOLUTIONS SAC</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Aprobado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Timoteo Huamani — Gerente General</w:t>
            </w:r>
          </w:p>
        </w:tc>
      </w:tr>
    </w:tbl>
    <w:p>
      <w:r>
        <w:br w:type="page"/>
      </w:r>
    </w:p>
    <w:p>
      <w:pPr>
        <w:pStyle w:val="Heading1"/>
        <w:spacing w:before="300" w:after="160"/>
      </w:pPr>
      <w:r>
        <w:rPr>
          <w:rFonts w:ascii="Calibri" w:cs="Calibri" w:eastAsia="Calibri" w:hAnsi="Calibri"/>
          <w:b/>
          <w:bCs/>
          <w:color w:val="1a6b4e"/>
          <w:sz w:val="26"/>
          <w:szCs w:val="26"/>
        </w:rPr>
        <w:t xml:space="preserve">1. Personal Requerido</w:t>
      </w:r>
    </w:p>
    <w:p>
      <w:pPr>
        <w:spacing w:after="120" w:before="0" w:line="276"/>
        <w:jc w:val="both"/>
      </w:pPr>
      <w:r>
        <w:rPr>
          <w:rFonts w:ascii="Calibri" w:cs="Calibri" w:eastAsia="Calibri" w:hAnsi="Calibri"/>
          <w:b w:val="false"/>
          <w:bCs w:val="false"/>
          <w:i w:val="false"/>
          <w:iCs w:val="false"/>
          <w:color w:val="1E293B"/>
          <w:sz w:val="20"/>
          <w:szCs w:val="20"/>
        </w:rPr>
        <w:t xml:space="preserve">Instalador de geomembrana (certificado), Soldador de termofusion (certificado), Ayudantes (3 min), QA/QC</w:t>
      </w:r>
    </w:p>
    <w:p>
      <w:pPr>
        <w:pStyle w:val="Heading1"/>
        <w:spacing w:before="300" w:after="160"/>
      </w:pPr>
      <w:r>
        <w:rPr>
          <w:rFonts w:ascii="Calibri" w:cs="Calibri" w:eastAsia="Calibri" w:hAnsi="Calibri"/>
          <w:b/>
          <w:bCs/>
          <w:color w:val="1a6b4e"/>
          <w:sz w:val="26"/>
          <w:szCs w:val="26"/>
        </w:rPr>
        <w:t xml:space="preserve">2. EPP Requerido</w:t>
      </w:r>
    </w:p>
    <w:p>
      <w:pPr>
        <w:spacing w:after="120" w:before="20" w:line="276"/>
        <w:jc w:val="both"/>
      </w:pPr>
      <w:r>
        <w:rPr>
          <w:rFonts w:ascii="Calibri" w:cs="Calibri" w:eastAsia="Calibri" w:hAnsi="Calibri"/>
          <w:b w:val="false"/>
          <w:bCs w:val="false"/>
          <w:i w:val="false"/>
          <w:iCs w:val="false"/>
          <w:color w:val="1E293B"/>
          <w:sz w:val="20"/>
          <w:szCs w:val="20"/>
        </w:rPr>
        <w:t xml:space="preserve">  - Casco con barbiquejo</w:t>
      </w:r>
    </w:p>
    <w:p>
      <w:pPr>
        <w:spacing w:after="120" w:before="20" w:line="276"/>
        <w:jc w:val="both"/>
      </w:pPr>
      <w:r>
        <w:rPr>
          <w:rFonts w:ascii="Calibri" w:cs="Calibri" w:eastAsia="Calibri" w:hAnsi="Calibri"/>
          <w:b w:val="false"/>
          <w:bCs w:val="false"/>
          <w:i w:val="false"/>
          <w:iCs w:val="false"/>
          <w:color w:val="1E293B"/>
          <w:sz w:val="20"/>
          <w:szCs w:val="20"/>
        </w:rPr>
        <w:t xml:space="preserve">  - Lentes de seguridad</w:t>
      </w:r>
    </w:p>
    <w:p>
      <w:pPr>
        <w:spacing w:after="120" w:before="20" w:line="276"/>
        <w:jc w:val="both"/>
      </w:pPr>
      <w:r>
        <w:rPr>
          <w:rFonts w:ascii="Calibri" w:cs="Calibri" w:eastAsia="Calibri" w:hAnsi="Calibri"/>
          <w:b w:val="false"/>
          <w:bCs w:val="false"/>
          <w:i w:val="false"/>
          <w:iCs w:val="false"/>
          <w:color w:val="1E293B"/>
          <w:sz w:val="20"/>
          <w:szCs w:val="20"/>
        </w:rPr>
        <w:t xml:space="preserve">  - Guantes de cuero</w:t>
      </w:r>
    </w:p>
    <w:p>
      <w:pPr>
        <w:spacing w:after="120" w:before="20" w:line="276"/>
        <w:jc w:val="both"/>
      </w:pPr>
      <w:r>
        <w:rPr>
          <w:rFonts w:ascii="Calibri" w:cs="Calibri" w:eastAsia="Calibri" w:hAnsi="Calibri"/>
          <w:b w:val="false"/>
          <w:bCs w:val="false"/>
          <w:i w:val="false"/>
          <w:iCs w:val="false"/>
          <w:color w:val="1E293B"/>
          <w:sz w:val="20"/>
          <w:szCs w:val="20"/>
        </w:rPr>
        <w:t xml:space="preserve">  - Botas antideslizantes (suela lisa para no danar lamina)</w:t>
      </w:r>
    </w:p>
    <w:p>
      <w:pPr>
        <w:spacing w:after="120" w:before="20" w:line="276"/>
        <w:jc w:val="both"/>
      </w:pPr>
      <w:r>
        <w:rPr>
          <w:rFonts w:ascii="Calibri" w:cs="Calibri" w:eastAsia="Calibri" w:hAnsi="Calibri"/>
          <w:b w:val="false"/>
          <w:bCs w:val="false"/>
          <w:i w:val="false"/>
          <w:iCs w:val="false"/>
          <w:color w:val="1E293B"/>
          <w:sz w:val="20"/>
          <w:szCs w:val="20"/>
        </w:rPr>
        <w:t xml:space="preserve">  - Arnes de cuerpo completo (en taludes &gt;30°)</w:t>
      </w:r>
    </w:p>
    <w:p>
      <w:pPr>
        <w:spacing w:after="120" w:before="20" w:line="276"/>
        <w:jc w:val="both"/>
      </w:pPr>
      <w:r>
        <w:rPr>
          <w:rFonts w:ascii="Calibri" w:cs="Calibri" w:eastAsia="Calibri" w:hAnsi="Calibri"/>
          <w:b w:val="false"/>
          <w:bCs w:val="false"/>
          <w:i w:val="false"/>
          <w:iCs w:val="false"/>
          <w:color w:val="1E293B"/>
          <w:sz w:val="20"/>
          <w:szCs w:val="20"/>
        </w:rPr>
        <w:t xml:space="preserve">  - Proteccion solar</w:t>
      </w:r>
    </w:p>
    <w:p>
      <w:pPr>
        <w:pStyle w:val="Heading1"/>
        <w:spacing w:before="300" w:after="160"/>
      </w:pPr>
      <w:r>
        <w:rPr>
          <w:rFonts w:ascii="Calibri" w:cs="Calibri" w:eastAsia="Calibri" w:hAnsi="Calibri"/>
          <w:b/>
          <w:bCs/>
          <w:color w:val="1a6b4e"/>
          <w:sz w:val="26"/>
          <w:szCs w:val="26"/>
        </w:rPr>
        <w:t xml:space="preserve">3. Herramientas y Equipos</w:t>
      </w:r>
    </w:p>
    <w:p>
      <w:pPr>
        <w:spacing w:after="120" w:before="20" w:line="276"/>
        <w:jc w:val="both"/>
      </w:pPr>
      <w:r>
        <w:rPr>
          <w:rFonts w:ascii="Calibri" w:cs="Calibri" w:eastAsia="Calibri" w:hAnsi="Calibri"/>
          <w:b w:val="false"/>
          <w:bCs w:val="false"/>
          <w:i w:val="false"/>
          <w:iCs w:val="false"/>
          <w:color w:val="1E293B"/>
          <w:sz w:val="20"/>
          <w:szCs w:val="20"/>
        </w:rPr>
        <w:t xml:space="preserve">  - Maquina de soldadura por termofusion (cuna caliente y extrusion)</w:t>
      </w:r>
    </w:p>
    <w:p>
      <w:pPr>
        <w:spacing w:after="120" w:before="20" w:line="276"/>
        <w:jc w:val="both"/>
      </w:pPr>
      <w:r>
        <w:rPr>
          <w:rFonts w:ascii="Calibri" w:cs="Calibri" w:eastAsia="Calibri" w:hAnsi="Calibri"/>
          <w:b w:val="false"/>
          <w:bCs w:val="false"/>
          <w:i w:val="false"/>
          <w:iCs w:val="false"/>
          <w:color w:val="1E293B"/>
          <w:sz w:val="20"/>
          <w:szCs w:val="20"/>
        </w:rPr>
        <w:t xml:space="preserve">  - Tensiometro</w:t>
      </w:r>
    </w:p>
    <w:p>
      <w:pPr>
        <w:spacing w:after="120" w:before="20" w:line="276"/>
        <w:jc w:val="both"/>
      </w:pPr>
      <w:r>
        <w:rPr>
          <w:rFonts w:ascii="Calibri" w:cs="Calibri" w:eastAsia="Calibri" w:hAnsi="Calibri"/>
          <w:b w:val="false"/>
          <w:bCs w:val="false"/>
          <w:i w:val="false"/>
          <w:iCs w:val="false"/>
          <w:color w:val="1E293B"/>
          <w:sz w:val="20"/>
          <w:szCs w:val="20"/>
        </w:rPr>
        <w:t xml:space="preserve">  - Equipo de prueba de vacio</w:t>
      </w:r>
    </w:p>
    <w:p>
      <w:pPr>
        <w:spacing w:after="120" w:before="20" w:line="276"/>
        <w:jc w:val="both"/>
      </w:pPr>
      <w:r>
        <w:rPr>
          <w:rFonts w:ascii="Calibri" w:cs="Calibri" w:eastAsia="Calibri" w:hAnsi="Calibri"/>
          <w:b w:val="false"/>
          <w:bCs w:val="false"/>
          <w:i w:val="false"/>
          <w:iCs w:val="false"/>
          <w:color w:val="1E293B"/>
          <w:sz w:val="20"/>
          <w:szCs w:val="20"/>
        </w:rPr>
        <w:t xml:space="preserve">  - Cuchillas de seguridad retractiles</w:t>
      </w:r>
    </w:p>
    <w:p>
      <w:pPr>
        <w:spacing w:after="120" w:before="20" w:line="276"/>
        <w:jc w:val="both"/>
      </w:pPr>
      <w:r>
        <w:rPr>
          <w:rFonts w:ascii="Calibri" w:cs="Calibri" w:eastAsia="Calibri" w:hAnsi="Calibri"/>
          <w:b w:val="false"/>
          <w:bCs w:val="false"/>
          <w:i w:val="false"/>
          <w:iCs w:val="false"/>
          <w:color w:val="1E293B"/>
          <w:sz w:val="20"/>
          <w:szCs w:val="20"/>
        </w:rPr>
        <w:t xml:space="preserve">  - Sacos de arena (lastre)</w:t>
      </w:r>
    </w:p>
    <w:p>
      <w:pPr>
        <w:pStyle w:val="Heading1"/>
        <w:spacing w:before="300" w:after="160"/>
      </w:pPr>
      <w:r>
        <w:rPr>
          <w:rFonts w:ascii="Calibri" w:cs="Calibri" w:eastAsia="Calibri" w:hAnsi="Calibri"/>
          <w:b/>
          <w:bCs/>
          <w:color w:val="1a6b4e"/>
          <w:sz w:val="26"/>
          <w:szCs w:val="26"/>
        </w:rPr>
        <w:t xml:space="preserve">4. Pre-Requisitos</w:t>
      </w:r>
    </w:p>
    <w:p>
      <w:pPr>
        <w:spacing w:after="120" w:before="20" w:line="276"/>
        <w:jc w:val="both"/>
      </w:pPr>
      <w:r>
        <w:rPr>
          <w:rFonts w:ascii="Calibri" w:cs="Calibri" w:eastAsia="Calibri" w:hAnsi="Calibri"/>
          <w:b w:val="false"/>
          <w:bCs w:val="false"/>
          <w:i w:val="false"/>
          <w:iCs w:val="false"/>
          <w:color w:val="1E293B"/>
          <w:sz w:val="20"/>
          <w:szCs w:val="20"/>
        </w:rPr>
        <w:t xml:space="preserve">  - Superficie preparada y aprobada por QA/QC</w:t>
      </w:r>
    </w:p>
    <w:p>
      <w:pPr>
        <w:spacing w:after="120" w:before="20" w:line="276"/>
        <w:jc w:val="both"/>
      </w:pPr>
      <w:r>
        <w:rPr>
          <w:rFonts w:ascii="Calibri" w:cs="Calibri" w:eastAsia="Calibri" w:hAnsi="Calibri"/>
          <w:b w:val="false"/>
          <w:bCs w:val="false"/>
          <w:i w:val="false"/>
          <w:iCs w:val="false"/>
          <w:color w:val="1E293B"/>
          <w:sz w:val="20"/>
          <w:szCs w:val="20"/>
        </w:rPr>
        <w:t xml:space="preserve">  - ATS completado</w:t>
      </w:r>
    </w:p>
    <w:p>
      <w:pPr>
        <w:spacing w:after="120" w:before="20" w:line="276"/>
        <w:jc w:val="both"/>
      </w:pPr>
      <w:r>
        <w:rPr>
          <w:rFonts w:ascii="Calibri" w:cs="Calibri" w:eastAsia="Calibri" w:hAnsi="Calibri"/>
          <w:b w:val="false"/>
          <w:bCs w:val="false"/>
          <w:i w:val="false"/>
          <w:iCs w:val="false"/>
          <w:color w:val="1E293B"/>
          <w:sz w:val="20"/>
          <w:szCs w:val="20"/>
        </w:rPr>
        <w:t xml:space="preserve">  - PETAR si trabajo en talud &gt;1.8m</w:t>
      </w:r>
    </w:p>
    <w:p>
      <w:pPr>
        <w:spacing w:after="120" w:before="20" w:line="276"/>
        <w:jc w:val="both"/>
      </w:pPr>
      <w:r>
        <w:rPr>
          <w:rFonts w:ascii="Calibri" w:cs="Calibri" w:eastAsia="Calibri" w:hAnsi="Calibri"/>
          <w:b w:val="false"/>
          <w:bCs w:val="false"/>
          <w:i w:val="false"/>
          <w:iCs w:val="false"/>
          <w:color w:val="1E293B"/>
          <w:sz w:val="20"/>
          <w:szCs w:val="20"/>
        </w:rPr>
        <w:t xml:space="preserve">  - Condiciones climaticas: no lluvia, viento &lt;40 km/h, T° &gt;5°C</w:t>
      </w:r>
    </w:p>
    <w:p>
      <w:r>
        <w:br w:type="page"/>
      </w:r>
    </w:p>
    <w:p>
      <w:pPr>
        <w:pStyle w:val="Heading1"/>
        <w:spacing w:before="300" w:after="160"/>
      </w:pPr>
      <w:r>
        <w:rPr>
          <w:rFonts w:ascii="Calibri" w:cs="Calibri" w:eastAsia="Calibri" w:hAnsi="Calibri"/>
          <w:b/>
          <w:bCs/>
          <w:color w:val="1a6b4e"/>
          <w:sz w:val="26"/>
          <w:szCs w:val="26"/>
        </w:rPr>
        <w:t xml:space="preserve">5. Procedimiento Paso a Paso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26"/>
        <w:gridCol w:w="2100"/>
        <w:gridCol w:w="2200"/>
      </w:tblGrid>
      <w:tr>
        <w:tc>
          <w:tcPr>
            <w:tcW w:type="dxa" w:w="1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Paso</w:t>
            </w:r>
          </w:p>
        </w:tc>
        <w:tc>
          <w:tcPr>
            <w:tcW w:type="dxa" w:w="35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Descripcion</w:t>
            </w:r>
          </w:p>
        </w:tc>
        <w:tc>
          <w:tcPr>
            <w:tcW w:type="dxa" w:w="21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Riesgo Asociado</w:t>
            </w:r>
          </w:p>
        </w:tc>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Control</w:t>
            </w:r>
          </w:p>
        </w:tc>
      </w:tr>
      <w:tr>
        <w:tc>
          <w:tcPr>
            <w:tcW w:type="dxa" w:w="12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Preparacion de Superficie</w:t>
            </w:r>
          </w:p>
        </w:tc>
        <w:tc>
          <w:tcPr>
            <w:tcW w:type="dxa" w:w="3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 Verificar aprobacion de la subrasante (libre de piedras punzantes, raices, material organico). 2. Colocar geotextil de proteccion si especificado. 3. Verificar condiciones climaticas.</w:t>
            </w:r>
          </w:p>
        </w:tc>
        <w:tc>
          <w:tcPr>
            <w:tcW w:type="dxa" w:w="21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Punzonamiento de geomembrana</w:t>
            </w:r>
          </w:p>
        </w:tc>
        <w:tc>
          <w:tcPr>
            <w:tcW w:type="dxa" w:w="22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Liberacion QA/QC de subrasante</w:t>
            </w:r>
          </w:p>
        </w:tc>
      </w:tr>
      <w:tr>
        <w:tc>
          <w:tcPr>
            <w:tcW w:type="dxa" w:w="12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Tendido de Paneles</w:t>
            </w:r>
          </w:p>
        </w:tc>
        <w:tc>
          <w:tcPr>
            <w:tcW w:type="dxa" w:w="3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 Desenrollar panel en sentido del viento (de barlovento a sotavento). 2. Asegurar con sacos de arena cada 3m. 3. Dejar traslape minimo segun especificacion (tipico 15cm para soldadura). 4. No arrastrar lamina sobre superficie rugosa. 5. Si trabaja en talud: instalar lineas de vida, arnes obligatorio si &gt;1.8m.</w:t>
            </w:r>
          </w:p>
        </w:tc>
        <w:tc>
          <w:tcPr>
            <w:tcW w:type="dxa" w:w="21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Caida en talud, dano a lamina</w:t>
            </w:r>
          </w:p>
        </w:tc>
        <w:tc>
          <w:tcPr>
            <w:tcW w:type="dxa" w:w="22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Lastrado, lineas de vida, tecnica correcta</w:t>
            </w:r>
          </w:p>
        </w:tc>
      </w:tr>
      <w:tr>
        <w:tc>
          <w:tcPr>
            <w:tcW w:type="dxa" w:w="12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Soldadura por Termofusion</w:t>
            </w:r>
          </w:p>
        </w:tc>
        <w:tc>
          <w:tcPr>
            <w:tcW w:type="dxa" w:w="35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 Calibrar maquina de soldadura segun temperatura y velocidad del fabricante. 2. Realizar probeta de prueba y ensayo de pelado antes de iniciar. 3. Soldar paneles con traslape uniforme. 4. Marcar con tiza cada junta soldada para trazabilidad. 5. No soldar con humedad en la superficie (secar con aire caliente).</w:t>
            </w:r>
          </w:p>
        </w:tc>
        <w:tc>
          <w:tcPr>
            <w:tcW w:type="dxa" w:w="21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Junta defectuosa, fuga</w:t>
            </w:r>
          </w:p>
        </w:tc>
        <w:tc>
          <w:tcPr>
            <w:tcW w:type="dxa" w:w="22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Probetas de prueba, control de parametros</w:t>
            </w:r>
          </w:p>
        </w:tc>
      </w:tr>
      <w:tr>
        <w:tc>
          <w:tcPr>
            <w:tcW w:type="dxa" w:w="12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Control de Calidad</w:t>
            </w:r>
          </w:p>
        </w:tc>
        <w:tc>
          <w:tcPr>
            <w:tcW w:type="dxa" w:w="35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 Ensayo de vacio (vacuum box) en toda la longitud de soldaduras de extrusion. 2. Ensayo de canales de prueba (air lance) en soldaduras de cuna caliente. 3. Ensayo destructivo de probetas cada 150m lineales de soldadura. 4. Reparar toda junta que no pase ensayo. 5. Documentar en protocolos de QA/QC.</w:t>
            </w:r>
          </w:p>
        </w:tc>
        <w:tc>
          <w:tcPr>
            <w:tcW w:type="dxa" w:w="21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No conformidad, fugas en operacion</w:t>
            </w:r>
          </w:p>
        </w:tc>
        <w:tc>
          <w:tcPr>
            <w:tcW w:type="dxa" w:w="22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Ensayos sistematicos, protocolos</w:t>
            </w:r>
          </w:p>
        </w:tc>
      </w:tr>
    </w:tbl>
    <w:p>
      <w:pPr>
        <w:pStyle w:val="Heading1"/>
        <w:spacing w:before="300" w:after="160"/>
      </w:pPr>
      <w:r>
        <w:rPr>
          <w:rFonts w:ascii="Calibri" w:cs="Calibri" w:eastAsia="Calibri" w:hAnsi="Calibri"/>
          <w:b/>
          <w:bCs/>
          <w:color w:val="1a6b4e"/>
          <w:sz w:val="26"/>
          <w:szCs w:val="26"/>
        </w:rPr>
        <w:t xml:space="preserve">6. Restricciones y Prohibiciones</w:t>
      </w:r>
    </w:p>
    <w:p>
      <w:pPr>
        <w:spacing w:after="120" w:before="20" w:line="276"/>
        <w:jc w:val="both"/>
      </w:pPr>
      <w:r>
        <w:rPr>
          <w:rFonts w:ascii="Calibri" w:cs="Calibri" w:eastAsia="Calibri" w:hAnsi="Calibri"/>
          <w:b/>
          <w:bCs/>
          <w:i w:val="false"/>
          <w:iCs w:val="false"/>
          <w:color w:val="DC2626"/>
          <w:sz w:val="20"/>
          <w:szCs w:val="20"/>
        </w:rPr>
        <w:t xml:space="preserve">PROHIBIDO soldar con lluvia, viento &gt;40 km/h o temperatura &lt;5°C.</w:t>
      </w:r>
    </w:p>
    <w:p>
      <w:pPr>
        <w:spacing w:after="120" w:before="20" w:line="276"/>
        <w:jc w:val="both"/>
      </w:pPr>
      <w:r>
        <w:rPr>
          <w:rFonts w:ascii="Calibri" w:cs="Calibri" w:eastAsia="Calibri" w:hAnsi="Calibri"/>
          <w:b/>
          <w:bCs/>
          <w:i w:val="false"/>
          <w:iCs w:val="false"/>
          <w:color w:val="DC2626"/>
          <w:sz w:val="20"/>
          <w:szCs w:val="20"/>
        </w:rPr>
        <w:t xml:space="preserve">PROHIBIDO pisar geomembrana con botas de suela agresiva.</w:t>
      </w:r>
    </w:p>
    <w:p>
      <w:pPr>
        <w:spacing w:after="120" w:before="20" w:line="276"/>
        <w:jc w:val="both"/>
      </w:pPr>
      <w:r>
        <w:rPr>
          <w:rFonts w:ascii="Calibri" w:cs="Calibri" w:eastAsia="Calibri" w:hAnsi="Calibri"/>
          <w:b/>
          <w:bCs/>
          <w:i w:val="false"/>
          <w:iCs w:val="false"/>
          <w:color w:val="DC2626"/>
          <w:sz w:val="20"/>
          <w:szCs w:val="20"/>
        </w:rPr>
        <w:t xml:space="preserve">PROHIBIDO soldar sin probeta de prueba aprobada.</w:t>
      </w:r>
    </w:p>
    <w:p>
      <w:pPr>
        <w:pStyle w:val="Heading1"/>
        <w:spacing w:before="300" w:after="160"/>
      </w:pPr>
      <w:r>
        <w:rPr>
          <w:rFonts w:ascii="Calibri" w:cs="Calibri" w:eastAsia="Calibri" w:hAnsi="Calibri"/>
          <w:b/>
          <w:bCs/>
          <w:color w:val="1a6b4e"/>
          <w:sz w:val="26"/>
          <w:szCs w:val="26"/>
        </w:rPr>
        <w:t xml:space="preserve">7. Respuesta a Emergencias</w:t>
      </w:r>
    </w:p>
    <w:p>
      <w:pPr>
        <w:spacing w:after="120" w:before="0" w:line="276"/>
        <w:jc w:val="both"/>
      </w:pPr>
      <w:r>
        <w:rPr>
          <w:rFonts w:ascii="Calibri" w:cs="Calibri" w:eastAsia="Calibri" w:hAnsi="Calibri"/>
          <w:b w:val="false"/>
          <w:bCs w:val="false"/>
          <w:i w:val="false"/>
          <w:iCs w:val="false"/>
          <w:color w:val="1E293B"/>
          <w:sz w:val="20"/>
          <w:szCs w:val="20"/>
        </w:rPr>
        <w:t xml:space="preserve">Incendio por equipo de soldadura: Extinguir con extintor PQS. Caida en talud: Activar rescate vertical (equipo de rescate del proyecto).</w:t>
      </w:r>
    </w:p>
    <w:p>
      <w:r>
        <w:br w:type="page"/>
      </w:r>
    </w:p>
    <w:p>
      <w:pPr>
        <w:pStyle w:val="Heading1"/>
        <w:spacing w:before="300" w:after="160"/>
      </w:pPr>
      <w:r>
        <w:rPr>
          <w:rFonts w:ascii="Calibri" w:cs="Calibri" w:eastAsia="Calibri" w:hAnsi="Calibri"/>
          <w:b/>
          <w:bCs/>
          <w:color w:val="1a6b4e"/>
          <w:sz w:val="26"/>
          <w:szCs w:val="26"/>
        </w:rPr>
        <w:t xml:space="preserve">8. Firmas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Elaborado</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Revisado</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Aprobado</w:t>
            </w:r>
          </w:p>
        </w:tc>
      </w:tr>
      <w:tr>
        <w:tc>
          <w:tcPr>
            <w:tcW w:type="dxa" w:w="3008"/>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INNOVAQ SOLUTIONS</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Giancarlo Huamani C.
Ing. SST</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Timoteo Huamani
Gerente General</w:t>
            </w:r>
          </w:p>
        </w:tc>
      </w:tr>
      <w:tr>
        <w:tc>
          <w:tcPr>
            <w:tcW w:type="dxa" w:w="3008"/>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w:t>
            </w:r>
          </w:p>
        </w:tc>
      </w:tr>
    </w:tbl>
    <w:sectPr>
      <w:headerReference w:type="default" r:id="rId6"/>
      <w:footerReference w:type="default" r:id="rId7"/>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D9CE" w:sz="1" w:space="4"/>
      </w:pBdr>
      <w:tabs>
        <w:tab w:val="right" w:pos="9026"/>
      </w:tabs>
      <w:spacing w:after="0"/>
    </w:pPr>
    <w:r>
      <w:rPr>
        <w:rFonts w:ascii="Calibri" w:cs="Calibri" w:eastAsia="Calibri" w:hAnsi="Calibri"/>
        <w:color w:val="64748B"/>
        <w:sz w:val="12"/>
        <w:szCs w:val="12"/>
      </w:rPr>
      <w:t xml:space="preserve">Confidencial — Tours Panasur E.I.R.L.</w:t>
    </w:r>
    <w:r>
      <w:t xml:space="preserve">	Pag </w:t>
    </w:r>
    <w:r>
      <w:rPr>
        <w:rFonts w:ascii="Calibri" w:cs="Calibri" w:eastAsia="Calibri" w:hAnsi="Calibri"/>
        <w:color w:val="64748B"/>
        <w:sz w:val="12"/>
        <w:szCs w:val="12"/>
      </w:rPr>
      <w:fldChar w:fldCharType="begin"/>
      <w:instrText xml:space="preserve">PAGE</w:instrText>
      <w:fldChar w:fldCharType="separate"/>
      <w:fldChar w:fldCharType="end"/>
    </w:r>
    <w:r>
      <w:t xml:space="preserve"> / </w:t>
    </w:r>
    <w:r>
      <w:rPr>
        <w:rFonts w:ascii="Calibri" w:cs="Calibri" w:eastAsia="Calibri" w:hAnsi="Calibri"/>
        <w:color w:val="64748B"/>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e" w:sz="2" w:space="4"/>
      </w:pBdr>
      <w:tabs>
        <w:tab w:val="right" w:pos="9026"/>
      </w:tabs>
      <w:spacing w:after="0"/>
    </w:pPr>
    <w:r>
      <w:rPr>
        <w:rFonts w:ascii="Calibri" w:cs="Calibri" w:eastAsia="Calibri" w:hAnsi="Calibri"/>
        <w:b/>
        <w:bCs/>
        <w:color w:val="1a6b4e"/>
        <w:sz w:val="14"/>
        <w:szCs w:val="14"/>
      </w:rPr>
      <w:t xml:space="preserve">TOURS PANASUR</w:t>
    </w:r>
    <w:r>
      <w:rPr>
        <w:rFonts w:ascii="Calibri" w:cs="Calibri" w:eastAsia="Calibri" w:hAnsi="Calibri"/>
        <w:color w:val="64748B"/>
        <w:sz w:val="12"/>
        <w:szCs w:val="12"/>
      </w:rPr>
      <w:t xml:space="preserve">	TP-PET-OPE-004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Calibri" w:cs="Calibri" w:eastAsia="Calibri" w:hAnsi="Calibri"/>
      <w:b/>
      <w:bCs/>
      <w:color w:val="1a6b4e"/>
      <w:sz w:val="26"/>
      <w:szCs w:val="26"/>
    </w:rPr>
  </w:style>
  <w:style w:type="paragraph" w:styleId="Heading2">
    <w:name w:val="Heading 2"/>
    <w:basedOn w:val="Normal"/>
    <w:next w:val="Normal"/>
    <w:qFormat/>
    <w:pPr>
      <w:spacing w:before="200" w:after="120"/>
      <w:outlineLvl w:val="1"/>
    </w:pPr>
    <w:rPr>
      <w:rFonts w:ascii="Calibri" w:cs="Calibri" w:eastAsia="Calibri" w:hAnsi="Calibri"/>
      <w:b/>
      <w:bCs/>
      <w:color w:val="1a6b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2026-03-08T11:12:09.463Z</dcterms:created>
  <dcterms:modified xsi:type="dcterms:W3CDTF">2026-03-08T11:12:09.463Z</dcterms:modified>
</cp:coreProperties>
</file>

<file path=docProps/custom.xml><?xml version="1.0" encoding="utf-8"?>
<Properties xmlns="http://schemas.openxmlformats.org/officeDocument/2006/custom-properties" xmlns:vt="http://schemas.openxmlformats.org/officeDocument/2006/docPropsVTypes"/>
</file>