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before="1000" w:after="0"/>
      </w:pPr>
    </w:p>
    <w:p>
      <w:pPr>
        <w:spacing w:after="120" w:before="0" w:line="276"/>
        <w:jc w:val="center"/>
      </w:pPr>
      <w:r>
        <w:rPr>
          <w:rFonts w:ascii="Calibri" w:cs="Calibri" w:eastAsia="Calibri" w:hAnsi="Calibri"/>
          <w:b/>
          <w:bCs/>
          <w:i w:val="false"/>
          <w:iCs w:val="false"/>
          <w:color w:val="64748B"/>
          <w:sz w:val="18"/>
          <w:szCs w:val="18"/>
        </w:rPr>
        <w:t xml:space="preserve">TOURS PANASUR E.I.R.L.</w:t>
      </w:r>
    </w:p>
    <w:p>
      <w:pPr>
        <w:spacing w:before="80" w:after="0"/>
      </w:pPr>
    </w:p>
    <w:p>
      <w:pPr>
        <w:spacing w:after="100" w:before="0" w:line="276"/>
        <w:jc w:val="center"/>
      </w:pPr>
      <w:r>
        <w:rPr>
          <w:rFonts w:ascii="Calibri" w:cs="Calibri" w:eastAsia="Calibri" w:hAnsi="Calibri"/>
          <w:b/>
          <w:bCs/>
          <w:i w:val="false"/>
          <w:iCs w:val="false"/>
          <w:color w:val="1a6b4e"/>
          <w:sz w:val="28"/>
          <w:szCs w:val="28"/>
        </w:rPr>
        <w:t xml:space="preserve">PETS — RELLENO CON MATERIAL FILTRANTE Y COMPACTACION</w:t>
      </w:r>
    </w:p>
    <w:p>
      <w:pPr>
        <w:spacing w:after="120" w:before="0" w:line="276"/>
        <w:jc w:val="center"/>
      </w:pPr>
      <w:r>
        <w:rPr>
          <w:rFonts w:ascii="Calibri" w:cs="Calibri" w:eastAsia="Calibri" w:hAnsi="Calibri"/>
          <w:b w:val="false"/>
          <w:bCs w:val="false"/>
          <w:i/>
          <w:iCs/>
          <w:color w:val="64748B"/>
          <w:sz w:val="16"/>
          <w:szCs w:val="16"/>
        </w:rPr>
        <w:t xml:space="preserve">Actividad: Colocacion y compactacion de material filtrante (grava, arena) en estructuras de drenaje</w:t>
      </w:r>
    </w:p>
    <w:p>
      <w:pPr>
        <w:spacing w:before="200" w:after="0"/>
      </w:pP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6826"/>
      </w:tblGrid>
      <w:tr>
        <w:tc>
          <w:tcPr>
            <w:tcW w:type="dxa" w:w="2200"/>
            <w:tcBorders>
              <w:top w:val="single" w:color="C1D9CE" w:sz="1"/>
              <w:left w:val="single" w:color="C1D9CE" w:sz="1"/>
              <w:bottom w:val="single" w:color="C1D9CE" w:sz="1"/>
              <w:right w:val="single" w:color="C1D9CE" w:sz="1"/>
            </w:tcBorders>
            <w:shd w:fill="1a6b4e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5"/>
                <w:szCs w:val="15"/>
              </w:rPr>
              <w:t xml:space="preserve">Codigo</w:t>
            </w:r>
          </w:p>
        </w:tc>
        <w:tc>
          <w:tcPr>
            <w:tcW w:type="dxa" w:w="6826"/>
            <w:tcBorders>
              <w:top w:val="single" w:color="C1D9CE" w:sz="1"/>
              <w:left w:val="single" w:color="C1D9CE" w:sz="1"/>
              <w:bottom w:val="single" w:color="C1D9CE" w:sz="1"/>
              <w:right w:val="single" w:color="C1D9CE" w:sz="1"/>
            </w:tcBorders>
            <w:shd w:fill="F0F7F4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17"/>
                <w:szCs w:val="17"/>
              </w:rPr>
              <w:t xml:space="preserve">TP-PET-OPE-008</w:t>
            </w:r>
          </w:p>
        </w:tc>
      </w:tr>
      <w:tr>
        <w:tc>
          <w:tcPr>
            <w:tcW w:type="dxa" w:w="2200"/>
            <w:tcBorders>
              <w:top w:val="single" w:color="C1D9CE" w:sz="1"/>
              <w:left w:val="single" w:color="C1D9CE" w:sz="1"/>
              <w:bottom w:val="single" w:color="C1D9CE" w:sz="1"/>
              <w:right w:val="single" w:color="C1D9CE" w:sz="1"/>
            </w:tcBorders>
            <w:shd w:fill="1a6b4e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5"/>
                <w:szCs w:val="15"/>
              </w:rPr>
              <w:t xml:space="preserve">Version</w:t>
            </w:r>
          </w:p>
        </w:tc>
        <w:tc>
          <w:tcPr>
            <w:tcW w:type="dxa" w:w="6826"/>
            <w:tcBorders>
              <w:top w:val="single" w:color="C1D9CE" w:sz="1"/>
              <w:left w:val="single" w:color="C1D9CE" w:sz="1"/>
              <w:bottom w:val="single" w:color="C1D9CE" w:sz="1"/>
              <w:right w:val="single" w:color="C1D9CE" w:sz="1"/>
            </w:tcBorders>
            <w:shd w:fill="F0F7F4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17"/>
                <w:szCs w:val="17"/>
              </w:rPr>
              <w:t xml:space="preserve">1.0</w:t>
            </w:r>
          </w:p>
        </w:tc>
      </w:tr>
      <w:tr>
        <w:tc>
          <w:tcPr>
            <w:tcW w:type="dxa" w:w="2200"/>
            <w:tcBorders>
              <w:top w:val="single" w:color="C1D9CE" w:sz="1"/>
              <w:left w:val="single" w:color="C1D9CE" w:sz="1"/>
              <w:bottom w:val="single" w:color="C1D9CE" w:sz="1"/>
              <w:right w:val="single" w:color="C1D9CE" w:sz="1"/>
            </w:tcBorders>
            <w:shd w:fill="1a6b4e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5"/>
                <w:szCs w:val="15"/>
              </w:rPr>
              <w:t xml:space="preserve">Fecha</w:t>
            </w:r>
          </w:p>
        </w:tc>
        <w:tc>
          <w:tcPr>
            <w:tcW w:type="dxa" w:w="6826"/>
            <w:tcBorders>
              <w:top w:val="single" w:color="C1D9CE" w:sz="1"/>
              <w:left w:val="single" w:color="C1D9CE" w:sz="1"/>
              <w:bottom w:val="single" w:color="C1D9CE" w:sz="1"/>
              <w:right w:val="single" w:color="C1D9CE" w:sz="1"/>
            </w:tcBorders>
            <w:shd w:fill="F0F7F4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17"/>
                <w:szCs w:val="17"/>
              </w:rPr>
              <w:t xml:space="preserve">08/03/2026</w:t>
            </w:r>
          </w:p>
        </w:tc>
      </w:tr>
      <w:tr>
        <w:tc>
          <w:tcPr>
            <w:tcW w:type="dxa" w:w="2200"/>
            <w:tcBorders>
              <w:top w:val="single" w:color="C1D9CE" w:sz="1"/>
              <w:left w:val="single" w:color="C1D9CE" w:sz="1"/>
              <w:bottom w:val="single" w:color="C1D9CE" w:sz="1"/>
              <w:right w:val="single" w:color="C1D9CE" w:sz="1"/>
            </w:tcBorders>
            <w:shd w:fill="1a6b4e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5"/>
                <w:szCs w:val="15"/>
              </w:rPr>
              <w:t xml:space="preserve">Elaborado por</w:t>
            </w:r>
          </w:p>
        </w:tc>
        <w:tc>
          <w:tcPr>
            <w:tcW w:type="dxa" w:w="6826"/>
            <w:tcBorders>
              <w:top w:val="single" w:color="C1D9CE" w:sz="1"/>
              <w:left w:val="single" w:color="C1D9CE" w:sz="1"/>
              <w:bottom w:val="single" w:color="C1D9CE" w:sz="1"/>
              <w:right w:val="single" w:color="C1D9CE" w:sz="1"/>
            </w:tcBorders>
            <w:shd w:fill="F0F7F4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17"/>
                <w:szCs w:val="17"/>
              </w:rPr>
              <w:t xml:space="preserve">INNOVAQ SOLUTIONS SAC</w:t>
            </w:r>
          </w:p>
        </w:tc>
      </w:tr>
      <w:tr>
        <w:tc>
          <w:tcPr>
            <w:tcW w:type="dxa" w:w="2200"/>
            <w:tcBorders>
              <w:top w:val="single" w:color="C1D9CE" w:sz="1"/>
              <w:left w:val="single" w:color="C1D9CE" w:sz="1"/>
              <w:bottom w:val="single" w:color="C1D9CE" w:sz="1"/>
              <w:right w:val="single" w:color="C1D9CE" w:sz="1"/>
            </w:tcBorders>
            <w:shd w:fill="1a6b4e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5"/>
                <w:szCs w:val="15"/>
              </w:rPr>
              <w:t xml:space="preserve">Aprobado por</w:t>
            </w:r>
          </w:p>
        </w:tc>
        <w:tc>
          <w:tcPr>
            <w:tcW w:type="dxa" w:w="6826"/>
            <w:tcBorders>
              <w:top w:val="single" w:color="C1D9CE" w:sz="1"/>
              <w:left w:val="single" w:color="C1D9CE" w:sz="1"/>
              <w:bottom w:val="single" w:color="C1D9CE" w:sz="1"/>
              <w:right w:val="single" w:color="C1D9CE" w:sz="1"/>
            </w:tcBorders>
            <w:shd w:fill="F0F7F4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17"/>
                <w:szCs w:val="17"/>
              </w:rPr>
              <w:t xml:space="preserve">Timoteo Huamani — Gerente General</w:t>
            </w:r>
          </w:p>
        </w:tc>
      </w:tr>
    </w:tbl>
    <w:p>
      <w:r>
        <w:br w:type="page"/>
      </w:r>
    </w:p>
    <w:p>
      <w:pPr>
        <w:pStyle w:val="Heading1"/>
        <w:spacing w:before="300" w:after="160"/>
      </w:pPr>
      <w:r>
        <w:rPr>
          <w:rFonts w:ascii="Calibri" w:cs="Calibri" w:eastAsia="Calibri" w:hAnsi="Calibri"/>
          <w:b/>
          <w:bCs/>
          <w:color w:val="1a6b4e"/>
          <w:sz w:val="26"/>
          <w:szCs w:val="26"/>
        </w:rPr>
        <w:t xml:space="preserve">1. Personal Requerido</w:t>
      </w:r>
    </w:p>
    <w:p>
      <w:pPr>
        <w:spacing w:after="120" w:before="0" w:line="276"/>
        <w:jc w:val="both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E293B"/>
          <w:sz w:val="20"/>
          <w:szCs w:val="20"/>
        </w:rPr>
        <w:t xml:space="preserve">Operador de volquete, Operador de rodillo, Topografo, Ayudantes</w:t>
      </w:r>
    </w:p>
    <w:p>
      <w:pPr>
        <w:pStyle w:val="Heading1"/>
        <w:spacing w:before="300" w:after="160"/>
      </w:pPr>
      <w:r>
        <w:rPr>
          <w:rFonts w:ascii="Calibri" w:cs="Calibri" w:eastAsia="Calibri" w:hAnsi="Calibri"/>
          <w:b/>
          <w:bCs/>
          <w:color w:val="1a6b4e"/>
          <w:sz w:val="26"/>
          <w:szCs w:val="26"/>
        </w:rPr>
        <w:t xml:space="preserve">2. EPP Requerido</w:t>
      </w:r>
    </w:p>
    <w:p>
      <w:pPr>
        <w:spacing w:after="120" w:before="20" w:line="276"/>
        <w:jc w:val="both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E293B"/>
          <w:sz w:val="20"/>
          <w:szCs w:val="20"/>
        </w:rPr>
        <w:t xml:space="preserve">  - Casco</w:t>
      </w:r>
    </w:p>
    <w:p>
      <w:pPr>
        <w:spacing w:after="120" w:before="20" w:line="276"/>
        <w:jc w:val="both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E293B"/>
          <w:sz w:val="20"/>
          <w:szCs w:val="20"/>
        </w:rPr>
        <w:t xml:space="preserve">  - Lentes</w:t>
      </w:r>
    </w:p>
    <w:p>
      <w:pPr>
        <w:spacing w:after="120" w:before="20" w:line="276"/>
        <w:jc w:val="both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E293B"/>
          <w:sz w:val="20"/>
          <w:szCs w:val="20"/>
        </w:rPr>
        <w:t xml:space="preserve">  - Guantes</w:t>
      </w:r>
    </w:p>
    <w:p>
      <w:pPr>
        <w:spacing w:after="120" w:before="20" w:line="276"/>
        <w:jc w:val="both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E293B"/>
          <w:sz w:val="20"/>
          <w:szCs w:val="20"/>
        </w:rPr>
        <w:t xml:space="preserve">  - Botas</w:t>
      </w:r>
    </w:p>
    <w:p>
      <w:pPr>
        <w:spacing w:after="120" w:before="20" w:line="276"/>
        <w:jc w:val="both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E293B"/>
          <w:sz w:val="20"/>
          <w:szCs w:val="20"/>
        </w:rPr>
        <w:t xml:space="preserve">  - Chaleco</w:t>
      </w:r>
    </w:p>
    <w:p>
      <w:pPr>
        <w:spacing w:after="120" w:before="20" w:line="276"/>
        <w:jc w:val="both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E293B"/>
          <w:sz w:val="20"/>
          <w:szCs w:val="20"/>
        </w:rPr>
        <w:t xml:space="preserve">  - Proteccion auditiva</w:t>
      </w:r>
    </w:p>
    <w:p>
      <w:pPr>
        <w:pStyle w:val="Heading1"/>
        <w:spacing w:before="300" w:after="160"/>
      </w:pPr>
      <w:r>
        <w:rPr>
          <w:rFonts w:ascii="Calibri" w:cs="Calibri" w:eastAsia="Calibri" w:hAnsi="Calibri"/>
          <w:b/>
          <w:bCs/>
          <w:color w:val="1a6b4e"/>
          <w:sz w:val="26"/>
          <w:szCs w:val="26"/>
        </w:rPr>
        <w:t xml:space="preserve">3. Herramientas y Equipos</w:t>
      </w:r>
    </w:p>
    <w:p>
      <w:pPr>
        <w:spacing w:after="120" w:before="20" w:line="276"/>
        <w:jc w:val="both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E293B"/>
          <w:sz w:val="20"/>
          <w:szCs w:val="20"/>
        </w:rPr>
        <w:t xml:space="preserve">  - Volquete</w:t>
      </w:r>
    </w:p>
    <w:p>
      <w:pPr>
        <w:spacing w:after="120" w:before="20" w:line="276"/>
        <w:jc w:val="both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E293B"/>
          <w:sz w:val="20"/>
          <w:szCs w:val="20"/>
        </w:rPr>
        <w:t xml:space="preserve">  - Rodillo vibratorio</w:t>
      </w:r>
    </w:p>
    <w:p>
      <w:pPr>
        <w:spacing w:after="120" w:before="20" w:line="276"/>
        <w:jc w:val="both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E293B"/>
          <w:sz w:val="20"/>
          <w:szCs w:val="20"/>
        </w:rPr>
        <w:t xml:space="preserve">  - Plancha compactadora</w:t>
      </w:r>
    </w:p>
    <w:p>
      <w:pPr>
        <w:spacing w:after="120" w:before="20" w:line="276"/>
        <w:jc w:val="both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E293B"/>
          <w:sz w:val="20"/>
          <w:szCs w:val="20"/>
        </w:rPr>
        <w:t xml:space="preserve">  - Equipo topografico</w:t>
      </w:r>
    </w:p>
    <w:p>
      <w:pPr>
        <w:spacing w:after="120" w:before="20" w:line="276"/>
        <w:jc w:val="both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E293B"/>
          <w:sz w:val="20"/>
          <w:szCs w:val="20"/>
        </w:rPr>
        <w:t xml:space="preserve">  - Equipo nuclear (densimetro)</w:t>
      </w:r>
    </w:p>
    <w:p>
      <w:pPr>
        <w:pStyle w:val="Heading1"/>
        <w:spacing w:before="300" w:after="160"/>
      </w:pPr>
      <w:r>
        <w:rPr>
          <w:rFonts w:ascii="Calibri" w:cs="Calibri" w:eastAsia="Calibri" w:hAnsi="Calibri"/>
          <w:b/>
          <w:bCs/>
          <w:color w:val="1a6b4e"/>
          <w:sz w:val="26"/>
          <w:szCs w:val="26"/>
        </w:rPr>
        <w:t xml:space="preserve">4. Pre-Requisitos</w:t>
      </w:r>
    </w:p>
    <w:p>
      <w:pPr>
        <w:spacing w:after="120" w:before="20" w:line="276"/>
        <w:jc w:val="both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E293B"/>
          <w:sz w:val="20"/>
          <w:szCs w:val="20"/>
        </w:rPr>
        <w:t xml:space="preserve">  - Material aprobado por QA/QC</w:t>
      </w:r>
    </w:p>
    <w:p>
      <w:pPr>
        <w:spacing w:after="120" w:before="20" w:line="276"/>
        <w:jc w:val="both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E293B"/>
          <w:sz w:val="20"/>
          <w:szCs w:val="20"/>
        </w:rPr>
        <w:t xml:space="preserve">  - Superficie preparada</w:t>
      </w:r>
    </w:p>
    <w:p>
      <w:pPr>
        <w:spacing w:after="120" w:before="20" w:line="276"/>
        <w:jc w:val="both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E293B"/>
          <w:sz w:val="20"/>
          <w:szCs w:val="20"/>
        </w:rPr>
        <w:t xml:space="preserve">  - ATS completado</w:t>
      </w:r>
    </w:p>
    <w:p>
      <w:r>
        <w:br w:type="page"/>
      </w:r>
    </w:p>
    <w:p>
      <w:pPr>
        <w:pStyle w:val="Heading1"/>
        <w:spacing w:before="300" w:after="160"/>
      </w:pPr>
      <w:r>
        <w:rPr>
          <w:rFonts w:ascii="Calibri" w:cs="Calibri" w:eastAsia="Calibri" w:hAnsi="Calibri"/>
          <w:b/>
          <w:bCs/>
          <w:color w:val="1a6b4e"/>
          <w:sz w:val="26"/>
          <w:szCs w:val="26"/>
        </w:rPr>
        <w:t xml:space="preserve">5. Procedimiento Paso a Paso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0"/>
        <w:gridCol w:w="3526"/>
        <w:gridCol w:w="2100"/>
        <w:gridCol w:w="2200"/>
      </w:tblGrid>
      <w:tr>
        <w:tc>
          <w:tcPr>
            <w:tcW w:type="dxa" w:w="1200"/>
            <w:tcBorders>
              <w:top w:val="single" w:color="C1D9CE" w:sz="1"/>
              <w:left w:val="single" w:color="C1D9CE" w:sz="1"/>
              <w:bottom w:val="single" w:color="C1D9CE" w:sz="1"/>
              <w:right w:val="single" w:color="C1D9CE" w:sz="1"/>
            </w:tcBorders>
            <w:shd w:fill="1a6b4e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5"/>
                <w:szCs w:val="15"/>
              </w:rPr>
              <w:t xml:space="preserve">Paso</w:t>
            </w:r>
          </w:p>
        </w:tc>
        <w:tc>
          <w:tcPr>
            <w:tcW w:type="dxa" w:w="3526"/>
            <w:tcBorders>
              <w:top w:val="single" w:color="C1D9CE" w:sz="1"/>
              <w:left w:val="single" w:color="C1D9CE" w:sz="1"/>
              <w:bottom w:val="single" w:color="C1D9CE" w:sz="1"/>
              <w:right w:val="single" w:color="C1D9CE" w:sz="1"/>
            </w:tcBorders>
            <w:shd w:fill="1a6b4e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5"/>
                <w:szCs w:val="15"/>
              </w:rPr>
              <w:t xml:space="preserve">Descripcion</w:t>
            </w:r>
          </w:p>
        </w:tc>
        <w:tc>
          <w:tcPr>
            <w:tcW w:type="dxa" w:w="2100"/>
            <w:tcBorders>
              <w:top w:val="single" w:color="C1D9CE" w:sz="1"/>
              <w:left w:val="single" w:color="C1D9CE" w:sz="1"/>
              <w:bottom w:val="single" w:color="C1D9CE" w:sz="1"/>
              <w:right w:val="single" w:color="C1D9CE" w:sz="1"/>
            </w:tcBorders>
            <w:shd w:fill="1a6b4e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5"/>
                <w:szCs w:val="15"/>
              </w:rPr>
              <w:t xml:space="preserve">Riesgo Asociado</w:t>
            </w:r>
          </w:p>
        </w:tc>
        <w:tc>
          <w:tcPr>
            <w:tcW w:type="dxa" w:w="2200"/>
            <w:tcBorders>
              <w:top w:val="single" w:color="C1D9CE" w:sz="1"/>
              <w:left w:val="single" w:color="C1D9CE" w:sz="1"/>
              <w:bottom w:val="single" w:color="C1D9CE" w:sz="1"/>
              <w:right w:val="single" w:color="C1D9CE" w:sz="1"/>
            </w:tcBorders>
            <w:shd w:fill="1a6b4e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5"/>
                <w:szCs w:val="15"/>
              </w:rPr>
              <w:t xml:space="preserve">Control</w:t>
            </w:r>
          </w:p>
        </w:tc>
      </w:tr>
      <w:tr>
        <w:tc>
          <w:tcPr>
            <w:tcW w:type="dxa" w:w="1200"/>
            <w:tcBorders>
              <w:top w:val="single" w:color="C1D9CE" w:sz="1"/>
              <w:left w:val="single" w:color="C1D9CE" w:sz="1"/>
              <w:bottom w:val="single" w:color="C1D9CE" w:sz="1"/>
              <w:right w:val="single" w:color="C1D9CE" w:sz="1"/>
            </w:tcBorders>
            <w:shd w:fill="F5FAF7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17"/>
                <w:szCs w:val="17"/>
              </w:rPr>
              <w:t xml:space="preserve">Acopio de Material</w:t>
            </w:r>
          </w:p>
        </w:tc>
        <w:tc>
          <w:tcPr>
            <w:tcW w:type="dxa" w:w="3526"/>
            <w:tcBorders>
              <w:top w:val="single" w:color="C1D9CE" w:sz="1"/>
              <w:left w:val="single" w:color="C1D9CE" w:sz="1"/>
              <w:bottom w:val="single" w:color="C1D9CE" w:sz="1"/>
              <w:right w:val="single" w:color="C1D9CE" w:sz="1"/>
            </w:tcBorders>
            <w:shd w:fill="F5FAF7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17"/>
                <w:szCs w:val="17"/>
              </w:rPr>
              <w:t xml:space="preserve">1. Material filtrante certificado (granulometria aprobada). 2. Acopiar en zona designada, proteger de contaminacion.</w:t>
            </w:r>
          </w:p>
        </w:tc>
        <w:tc>
          <w:tcPr>
            <w:tcW w:type="dxa" w:w="2100"/>
            <w:tcBorders>
              <w:top w:val="single" w:color="C1D9CE" w:sz="1"/>
              <w:left w:val="single" w:color="C1D9CE" w:sz="1"/>
              <w:bottom w:val="single" w:color="C1D9CE" w:sz="1"/>
              <w:right w:val="single" w:color="C1D9CE" w:sz="1"/>
            </w:tcBorders>
            <w:shd w:fill="F5FAF7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17"/>
                <w:szCs w:val="17"/>
              </w:rPr>
              <w:t xml:space="preserve">Material fuera de especificacion</w:t>
            </w:r>
          </w:p>
        </w:tc>
        <w:tc>
          <w:tcPr>
            <w:tcW w:type="dxa" w:w="2200"/>
            <w:tcBorders>
              <w:top w:val="single" w:color="C1D9CE" w:sz="1"/>
              <w:left w:val="single" w:color="C1D9CE" w:sz="1"/>
              <w:bottom w:val="single" w:color="C1D9CE" w:sz="1"/>
              <w:right w:val="single" w:color="C1D9CE" w:sz="1"/>
            </w:tcBorders>
            <w:shd w:fill="F5FAF7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17"/>
                <w:szCs w:val="17"/>
              </w:rPr>
              <w:t xml:space="preserve">Certificado de cantera, ensayos</w:t>
            </w:r>
          </w:p>
        </w:tc>
      </w:tr>
      <w:tr>
        <w:tc>
          <w:tcPr>
            <w:tcW w:type="dxa" w:w="1200"/>
            <w:tcBorders>
              <w:top w:val="single" w:color="C1D9CE" w:sz="1"/>
              <w:left w:val="single" w:color="C1D9CE" w:sz="1"/>
              <w:bottom w:val="single" w:color="C1D9CE" w:sz="1"/>
              <w:right w:val="single" w:color="C1D9CE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17"/>
                <w:szCs w:val="17"/>
              </w:rPr>
              <w:t xml:space="preserve">Colocacion en Capas</w:t>
            </w:r>
          </w:p>
        </w:tc>
        <w:tc>
          <w:tcPr>
            <w:tcW w:type="dxa" w:w="3526"/>
            <w:tcBorders>
              <w:top w:val="single" w:color="C1D9CE" w:sz="1"/>
              <w:left w:val="single" w:color="C1D9CE" w:sz="1"/>
              <w:bottom w:val="single" w:color="C1D9CE" w:sz="1"/>
              <w:right w:val="single" w:color="C1D9CE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17"/>
                <w:szCs w:val="17"/>
              </w:rPr>
              <w:t xml:space="preserve">1. Extender en capas max 30cm. 2. Control topografico de espesores. 3. Mantener humedad optima.</w:t>
            </w:r>
          </w:p>
        </w:tc>
        <w:tc>
          <w:tcPr>
            <w:tcW w:type="dxa" w:w="2100"/>
            <w:tcBorders>
              <w:top w:val="single" w:color="C1D9CE" w:sz="1"/>
              <w:left w:val="single" w:color="C1D9CE" w:sz="1"/>
              <w:bottom w:val="single" w:color="C1D9CE" w:sz="1"/>
              <w:right w:val="single" w:color="C1D9CE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17"/>
                <w:szCs w:val="17"/>
              </w:rPr>
              <w:t xml:space="preserve">Espesores incorrectos</w:t>
            </w:r>
          </w:p>
        </w:tc>
        <w:tc>
          <w:tcPr>
            <w:tcW w:type="dxa" w:w="2200"/>
            <w:tcBorders>
              <w:top w:val="single" w:color="C1D9CE" w:sz="1"/>
              <w:left w:val="single" w:color="C1D9CE" w:sz="1"/>
              <w:bottom w:val="single" w:color="C1D9CE" w:sz="1"/>
              <w:right w:val="single" w:color="C1D9CE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17"/>
                <w:szCs w:val="17"/>
              </w:rPr>
              <w:t xml:space="preserve">Control topografico por capa</w:t>
            </w:r>
          </w:p>
        </w:tc>
      </w:tr>
      <w:tr>
        <w:tc>
          <w:tcPr>
            <w:tcW w:type="dxa" w:w="1200"/>
            <w:tcBorders>
              <w:top w:val="single" w:color="C1D9CE" w:sz="1"/>
              <w:left w:val="single" w:color="C1D9CE" w:sz="1"/>
              <w:bottom w:val="single" w:color="C1D9CE" w:sz="1"/>
              <w:right w:val="single" w:color="C1D9CE" w:sz="1"/>
            </w:tcBorders>
            <w:shd w:fill="F5FAF7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17"/>
                <w:szCs w:val="17"/>
              </w:rPr>
              <w:t xml:space="preserve">Compactacion</w:t>
            </w:r>
          </w:p>
        </w:tc>
        <w:tc>
          <w:tcPr>
            <w:tcW w:type="dxa" w:w="3526"/>
            <w:tcBorders>
              <w:top w:val="single" w:color="C1D9CE" w:sz="1"/>
              <w:left w:val="single" w:color="C1D9CE" w:sz="1"/>
              <w:bottom w:val="single" w:color="C1D9CE" w:sz="1"/>
              <w:right w:val="single" w:color="C1D9CE" w:sz="1"/>
            </w:tcBorders>
            <w:shd w:fill="F5FAF7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17"/>
                <w:szCs w:val="17"/>
              </w:rPr>
              <w:t xml:space="preserve">1. Rodillo vibratorio: 4-6 pasadas por capa. 2. Ensayo de densidad (nuclear o proctor) segun frecuencia de control. 3. Si no cumple: recompactar o agregar agua.</w:t>
            </w:r>
          </w:p>
        </w:tc>
        <w:tc>
          <w:tcPr>
            <w:tcW w:type="dxa" w:w="2100"/>
            <w:tcBorders>
              <w:top w:val="single" w:color="C1D9CE" w:sz="1"/>
              <w:left w:val="single" w:color="C1D9CE" w:sz="1"/>
              <w:bottom w:val="single" w:color="C1D9CE" w:sz="1"/>
              <w:right w:val="single" w:color="C1D9CE" w:sz="1"/>
            </w:tcBorders>
            <w:shd w:fill="F5FAF7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17"/>
                <w:szCs w:val="17"/>
              </w:rPr>
              <w:t xml:space="preserve">Compactacion insuficiente</w:t>
            </w:r>
          </w:p>
        </w:tc>
        <w:tc>
          <w:tcPr>
            <w:tcW w:type="dxa" w:w="2200"/>
            <w:tcBorders>
              <w:top w:val="single" w:color="C1D9CE" w:sz="1"/>
              <w:left w:val="single" w:color="C1D9CE" w:sz="1"/>
              <w:bottom w:val="single" w:color="C1D9CE" w:sz="1"/>
              <w:right w:val="single" w:color="C1D9CE" w:sz="1"/>
            </w:tcBorders>
            <w:shd w:fill="F5FAF7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17"/>
                <w:szCs w:val="17"/>
              </w:rPr>
              <w:t xml:space="preserve">Ensayos de densidad</w:t>
            </w:r>
          </w:p>
        </w:tc>
      </w:tr>
    </w:tbl>
    <w:p>
      <w:pPr>
        <w:pStyle w:val="Heading1"/>
        <w:spacing w:before="300" w:after="160"/>
      </w:pPr>
      <w:r>
        <w:rPr>
          <w:rFonts w:ascii="Calibri" w:cs="Calibri" w:eastAsia="Calibri" w:hAnsi="Calibri"/>
          <w:b/>
          <w:bCs/>
          <w:color w:val="1a6b4e"/>
          <w:sz w:val="26"/>
          <w:szCs w:val="26"/>
        </w:rPr>
        <w:t xml:space="preserve">6. Restricciones y Prohibiciones</w:t>
      </w:r>
    </w:p>
    <w:p>
      <w:pPr>
        <w:spacing w:after="120" w:before="20" w:line="276"/>
        <w:jc w:val="both"/>
      </w:pPr>
      <w:r>
        <w:rPr>
          <w:rFonts w:ascii="Calibri" w:cs="Calibri" w:eastAsia="Calibri" w:hAnsi="Calibri"/>
          <w:b/>
          <w:bCs/>
          <w:i w:val="false"/>
          <w:iCs w:val="false"/>
          <w:color w:val="DC2626"/>
          <w:sz w:val="20"/>
          <w:szCs w:val="20"/>
        </w:rPr>
        <w:t xml:space="preserve">PROHIBIDO compactar sin control de humedad.</w:t>
      </w:r>
    </w:p>
    <w:p>
      <w:pPr>
        <w:pStyle w:val="Heading1"/>
        <w:spacing w:before="300" w:after="160"/>
      </w:pPr>
      <w:r>
        <w:rPr>
          <w:rFonts w:ascii="Calibri" w:cs="Calibri" w:eastAsia="Calibri" w:hAnsi="Calibri"/>
          <w:b/>
          <w:bCs/>
          <w:color w:val="1a6b4e"/>
          <w:sz w:val="26"/>
          <w:szCs w:val="26"/>
        </w:rPr>
        <w:t xml:space="preserve">7. Respuesta a Emergencias</w:t>
      </w:r>
    </w:p>
    <w:p>
      <w:pPr>
        <w:spacing w:after="120" w:before="0" w:line="276"/>
        <w:jc w:val="both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E293B"/>
          <w:sz w:val="20"/>
          <w:szCs w:val="20"/>
        </w:rPr>
        <w:t xml:space="preserve">Falla de equipo: Estacionar, senalizar, reportar.</w:t>
      </w:r>
    </w:p>
    <w:p>
      <w:r>
        <w:br w:type="page"/>
      </w:r>
    </w:p>
    <w:p>
      <w:pPr>
        <w:pStyle w:val="Heading1"/>
        <w:spacing w:before="300" w:after="160"/>
      </w:pPr>
      <w:r>
        <w:rPr>
          <w:rFonts w:ascii="Calibri" w:cs="Calibri" w:eastAsia="Calibri" w:hAnsi="Calibri"/>
          <w:b/>
          <w:bCs/>
          <w:color w:val="1a6b4e"/>
          <w:sz w:val="26"/>
          <w:szCs w:val="26"/>
        </w:rPr>
        <w:t xml:space="preserve">8. Firmas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8"/>
        <w:gridCol w:w="3009"/>
        <w:gridCol w:w="3009"/>
      </w:tblGrid>
      <w:tr>
        <w:tc>
          <w:tcPr>
            <w:tcW w:type="dxa" w:w="3008"/>
            <w:tcBorders>
              <w:top w:val="single" w:color="C1D9CE" w:sz="1"/>
              <w:left w:val="single" w:color="C1D9CE" w:sz="1"/>
              <w:bottom w:val="single" w:color="C1D9CE" w:sz="1"/>
              <w:right w:val="single" w:color="C1D9CE" w:sz="1"/>
            </w:tcBorders>
            <w:shd w:fill="1a6b4e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7"/>
                <w:szCs w:val="17"/>
              </w:rPr>
              <w:t xml:space="preserve">Elaborado</w:t>
            </w:r>
          </w:p>
        </w:tc>
        <w:tc>
          <w:tcPr>
            <w:tcW w:type="dxa" w:w="3009"/>
            <w:tcBorders>
              <w:top w:val="single" w:color="C1D9CE" w:sz="1"/>
              <w:left w:val="single" w:color="C1D9CE" w:sz="1"/>
              <w:bottom w:val="single" w:color="C1D9CE" w:sz="1"/>
              <w:right w:val="single" w:color="C1D9CE" w:sz="1"/>
            </w:tcBorders>
            <w:shd w:fill="1a6b4e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7"/>
                <w:szCs w:val="17"/>
              </w:rPr>
              <w:t xml:space="preserve">Revisado</w:t>
            </w:r>
          </w:p>
        </w:tc>
        <w:tc>
          <w:tcPr>
            <w:tcW w:type="dxa" w:w="3009"/>
            <w:tcBorders>
              <w:top w:val="single" w:color="C1D9CE" w:sz="1"/>
              <w:left w:val="single" w:color="C1D9CE" w:sz="1"/>
              <w:bottom w:val="single" w:color="C1D9CE" w:sz="1"/>
              <w:right w:val="single" w:color="C1D9CE" w:sz="1"/>
            </w:tcBorders>
            <w:shd w:fill="1a6b4e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7"/>
                <w:szCs w:val="17"/>
              </w:rPr>
              <w:t xml:space="preserve">Aprobado</w:t>
            </w:r>
          </w:p>
        </w:tc>
      </w:tr>
      <w:tr>
        <w:tc>
          <w:tcPr>
            <w:tcW w:type="dxa" w:w="3008"/>
            <w:tcBorders>
              <w:top w:val="single" w:color="C1D9CE" w:sz="1"/>
              <w:left w:val="single" w:color="C1D9CE" w:sz="1"/>
              <w:bottom w:val="single" w:color="C1D9CE" w:sz="1"/>
              <w:right w:val="single" w:color="C1D9CE" w:sz="1"/>
            </w:tcBorders>
            <w:shd w:fill="F0F7F4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17"/>
                <w:szCs w:val="17"/>
              </w:rPr>
              <w:t xml:space="preserve">INNOVAQ SOLUTIONS</w:t>
            </w:r>
          </w:p>
        </w:tc>
        <w:tc>
          <w:tcPr>
            <w:tcW w:type="dxa" w:w="3009"/>
            <w:tcBorders>
              <w:top w:val="single" w:color="C1D9CE" w:sz="1"/>
              <w:left w:val="single" w:color="C1D9CE" w:sz="1"/>
              <w:bottom w:val="single" w:color="C1D9CE" w:sz="1"/>
              <w:right w:val="single" w:color="C1D9CE" w:sz="1"/>
            </w:tcBorders>
            <w:shd w:fill="F0F7F4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17"/>
                <w:szCs w:val="17"/>
              </w:rPr>
              <w:t xml:space="preserve">Giancarlo Huamani C.
Ing. SST</w:t>
            </w:r>
          </w:p>
        </w:tc>
        <w:tc>
          <w:tcPr>
            <w:tcW w:type="dxa" w:w="3009"/>
            <w:tcBorders>
              <w:top w:val="single" w:color="C1D9CE" w:sz="1"/>
              <w:left w:val="single" w:color="C1D9CE" w:sz="1"/>
              <w:bottom w:val="single" w:color="C1D9CE" w:sz="1"/>
              <w:right w:val="single" w:color="C1D9CE" w:sz="1"/>
            </w:tcBorders>
            <w:shd w:fill="F0F7F4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17"/>
                <w:szCs w:val="17"/>
              </w:rPr>
              <w:t xml:space="preserve">Timoteo Huamani
Gerente General</w:t>
            </w:r>
          </w:p>
        </w:tc>
      </w:tr>
      <w:tr>
        <w:tc>
          <w:tcPr>
            <w:tcW w:type="dxa" w:w="3008"/>
            <w:tcBorders>
              <w:top w:val="single" w:color="C1D9CE" w:sz="1"/>
              <w:left w:val="single" w:color="C1D9CE" w:sz="1"/>
              <w:bottom w:val="single" w:color="C1D9CE" w:sz="1"/>
              <w:right w:val="single" w:color="C1D9CE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17"/>
                <w:szCs w:val="17"/>
              </w:rPr>
              <w:t xml:space="preserve">Firma: __________</w:t>
            </w:r>
          </w:p>
        </w:tc>
        <w:tc>
          <w:tcPr>
            <w:tcW w:type="dxa" w:w="3009"/>
            <w:tcBorders>
              <w:top w:val="single" w:color="C1D9CE" w:sz="1"/>
              <w:left w:val="single" w:color="C1D9CE" w:sz="1"/>
              <w:bottom w:val="single" w:color="C1D9CE" w:sz="1"/>
              <w:right w:val="single" w:color="C1D9CE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17"/>
                <w:szCs w:val="17"/>
              </w:rPr>
              <w:t xml:space="preserve">Firma: __________</w:t>
            </w:r>
          </w:p>
        </w:tc>
        <w:tc>
          <w:tcPr>
            <w:tcW w:type="dxa" w:w="3009"/>
            <w:tcBorders>
              <w:top w:val="single" w:color="C1D9CE" w:sz="1"/>
              <w:left w:val="single" w:color="C1D9CE" w:sz="1"/>
              <w:bottom w:val="single" w:color="C1D9CE" w:sz="1"/>
              <w:right w:val="single" w:color="C1D9CE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17"/>
                <w:szCs w:val="17"/>
              </w:rPr>
              <w:t xml:space="preserve">Firma: __________</w:t>
            </w:r>
          </w:p>
        </w:tc>
      </w:tr>
    </w:tbl>
    <w:sectPr>
      <w:headerReference w:type="default" r:id="rId6"/>
      <w:footerReference w:type="default" r:id="rId7"/>
      <w:pgSz w:w="11906" w:h="16838" w:orient="portrait"/>
      <w:pgMar w:top="1200" w:right="1400" w:bottom="1200" w:left="140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C1D9CE" w:sz="1" w:space="4"/>
      </w:pBdr>
      <w:tabs>
        <w:tab w:val="right" w:pos="9026"/>
      </w:tabs>
      <w:spacing w:after="0"/>
    </w:pPr>
    <w:r>
      <w:rPr>
        <w:rFonts w:ascii="Calibri" w:cs="Calibri" w:eastAsia="Calibri" w:hAnsi="Calibri"/>
        <w:color w:val="64748B"/>
        <w:sz w:val="12"/>
        <w:szCs w:val="12"/>
      </w:rPr>
      <w:t xml:space="preserve">Confidencial — Tours Panasur E.I.R.L.</w:t>
    </w:r>
    <w:r>
      <w:t xml:space="preserve">	Pag </w:t>
    </w:r>
    <w:r>
      <w:rPr>
        <w:rFonts w:ascii="Calibri" w:cs="Calibri" w:eastAsia="Calibri" w:hAnsi="Calibri"/>
        <w:color w:val="64748B"/>
        <w:sz w:val="12"/>
        <w:szCs w:val="12"/>
      </w:rPr>
      <w:fldChar w:fldCharType="begin"/>
      <w:instrText xml:space="preserve">PAGE</w:instrText>
      <w:fldChar w:fldCharType="separate"/>
      <w:fldChar w:fldCharType="end"/>
    </w:r>
    <w:r>
      <w:t xml:space="preserve"> / </w:t>
    </w:r>
    <w:r>
      <w:rPr>
        <w:rFonts w:ascii="Calibri" w:cs="Calibri" w:eastAsia="Calibri" w:hAnsi="Calibri"/>
        <w:color w:val="64748B"/>
        <w:sz w:val="12"/>
        <w:szCs w:val="12"/>
      </w:rPr>
      <w:fldChar w:fldCharType="begin"/>
      <w:instrText xml:space="preserve">NUMPAGES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1a6b4e" w:sz="2" w:space="4"/>
      </w:pBdr>
      <w:tabs>
        <w:tab w:val="right" w:pos="9026"/>
      </w:tabs>
      <w:spacing w:after="0"/>
    </w:pPr>
    <w:r>
      <w:rPr>
        <w:rFonts w:ascii="Calibri" w:cs="Calibri" w:eastAsia="Calibri" w:hAnsi="Calibri"/>
        <w:b/>
        <w:bCs/>
        <w:color w:val="1a6b4e"/>
        <w:sz w:val="14"/>
        <w:szCs w:val="14"/>
      </w:rPr>
      <w:t xml:space="preserve">TOURS PANASUR</w:t>
    </w:r>
    <w:r>
      <w:rPr>
        <w:rFonts w:ascii="Calibri" w:cs="Calibri" w:eastAsia="Calibri" w:hAnsi="Calibri"/>
        <w:color w:val="64748B"/>
        <w:sz w:val="12"/>
        <w:szCs w:val="12"/>
      </w:rPr>
      <w:t xml:space="preserve">	TP-PET-OPE-008 | v1.0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sz w:val="20"/>
        <w:szCs w:val="20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before="300" w:after="160"/>
      <w:outlineLvl w:val="0"/>
    </w:pPr>
    <w:rPr>
      <w:rFonts w:ascii="Calibri" w:cs="Calibri" w:eastAsia="Calibri" w:hAnsi="Calibri"/>
      <w:b/>
      <w:bCs/>
      <w:color w:val="1a6b4e"/>
      <w:sz w:val="26"/>
      <w:szCs w:val="26"/>
    </w:rPr>
  </w:style>
  <w:style w:type="paragraph" w:styleId="Heading2">
    <w:name w:val="Heading 2"/>
    <w:basedOn w:val="Normal"/>
    <w:next w:val="Normal"/>
    <w:qFormat/>
    <w:pPr>
      <w:spacing w:before="200" w:after="120"/>
      <w:outlineLvl w:val="1"/>
    </w:pPr>
    <w:rPr>
      <w:rFonts w:ascii="Calibri" w:cs="Calibri" w:eastAsia="Calibri" w:hAnsi="Calibri"/>
      <w:b/>
      <w:bCs/>
      <w:color w:val="1a6b4e"/>
      <w:sz w:val="22"/>
      <w:szCs w:val="22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header" Target="header1.xml"/><Relationship Id="rId7" Type="http://schemas.openxmlformats.org/officeDocument/2006/relationships/footer" Target="footer1.xml"/><Relationship Id="rId8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2026-03-08T11:12:09.590Z</dcterms:created>
  <dcterms:modified xsi:type="dcterms:W3CDTF">2026-03-08T11:12:09.590Z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