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00" w:after="0"/>
      </w:pPr>
    </w:p>
    <w:p>
      <w:pPr>
        <w:spacing w:after="200" w:before="0" w:line="276"/>
        <w:jc w:val="center"/>
      </w:pPr>
      <w:r>
        <w:rPr>
          <w:rFonts w:ascii="Calibri" w:cs="Calibri" w:eastAsia="Calibri" w:hAnsi="Calibri"/>
          <w:b/>
          <w:bCs/>
          <w:i w:val="false"/>
          <w:iCs w:val="false"/>
          <w:color w:val="1a6b4e"/>
          <w:sz w:val="30"/>
          <w:szCs w:val="30"/>
        </w:rPr>
        <w:t xml:space="preserve">PLAN DE TRANSPORTE DE CARGA — PROYECTO SAN GABRIEL</w:t>
      </w:r>
    </w:p>
    <w:p>
      <w:pPr>
        <w:spacing w:before="60" w:after="0"/>
      </w:pPr>
    </w:p>
    <w:p>
      <w:pPr>
        <w:spacing w:after="120" w:before="0" w:line="276"/>
        <w:jc w:val="center"/>
      </w:pPr>
      <w:r>
        <w:rPr>
          <w:rFonts w:ascii="Calibri" w:cs="Calibri" w:eastAsia="Calibri" w:hAnsi="Calibri"/>
          <w:b w:val="false"/>
          <w:bCs w:val="false"/>
          <w:i/>
          <w:iCs/>
          <w:color w:val="64748B"/>
          <w:sz w:val="16"/>
          <w:szCs w:val="16"/>
        </w:rPr>
        <w:t xml:space="preserve">Area: OPE | ISO 9001:2015 (8.1), ISO 45001:2018 (8.1), DS 024-2016-EM</w:t>
      </w:r>
    </w:p>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TP-PLA-OPE-001</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Fecha</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w:t>
            </w:r>
          </w:p>
        </w:tc>
      </w:tr>
    </w:tbl>
    <w:p>
      <w:r>
        <w:br w:type="page"/>
      </w:r>
    </w:p>
    <w:p>
      <w:pPr>
        <w:pStyle w:val="Heading1"/>
        <w:spacing w:before="360" w:after="200"/>
      </w:pPr>
      <w:r>
        <w:rPr>
          <w:rFonts w:ascii="Calibri" w:cs="Calibri" w:eastAsia="Calibri" w:hAnsi="Calibri"/>
          <w:b/>
          <w:bCs/>
          <w:color w:val="1a6b4e"/>
          <w:sz w:val="28"/>
          <w:szCs w:val="28"/>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Planificar las operaciones de transporte de relaves filtrados desde la planta de proceso hasta el deposito de relaves del Proyecto San Gabriel (Cia. Minera Buenaventura), asegurando el cumplimiento de especificaciones tecnicas, plazos, seguridad y medio ambiente.</w:t>
      </w:r>
    </w:p>
    <w:p>
      <w:pPr>
        <w:pStyle w:val="Heading1"/>
        <w:spacing w:before="360" w:after="200"/>
      </w:pPr>
      <w:r>
        <w:rPr>
          <w:rFonts w:ascii="Calibri" w:cs="Calibri" w:eastAsia="Calibri" w:hAnsi="Calibri"/>
          <w:b/>
          <w:bCs/>
          <w:color w:val="1a6b4e"/>
          <w:sz w:val="28"/>
          <w:szCs w:val="28"/>
        </w:rPr>
        <w:t xml:space="preserve">2. Descripcion de la Operacion</w:t>
      </w:r>
    </w:p>
    <w:p>
      <w:pPr>
        <w:spacing w:after="120" w:before="0" w:line="276"/>
        <w:jc w:val="both"/>
      </w:pPr>
      <w:r>
        <w:rPr>
          <w:rFonts w:ascii="Calibri" w:cs="Calibri" w:eastAsia="Calibri" w:hAnsi="Calibri"/>
          <w:b w:val="false"/>
          <w:bCs w:val="false"/>
          <w:i w:val="false"/>
          <w:iCs w:val="false"/>
          <w:color w:val="1E293B"/>
          <w:sz w:val="20"/>
          <w:szCs w:val="20"/>
        </w:rPr>
        <w:t xml:space="preserve">Tours Panasur transporta relaves filtrados en volquetes de 15 m3 desde la planta de filtrado hasta el deposito de relaves. La ruta opera a una altitud de 4,500-5,000 msnm. Distancia: aproximadamente [X] km por viaje. Turnos: diurnos (6:00-18:00). Frecuencia: [X] viajes por dia. El material transportado es relave filtrado (humedad &lt;15%), no clasificado como MATPEL pero requiere precauciones por contenido de metales.</w:t>
      </w:r>
    </w:p>
    <w:p>
      <w:pPr>
        <w:pStyle w:val="Heading1"/>
        <w:spacing w:before="360" w:after="200"/>
      </w:pPr>
      <w:r>
        <w:rPr>
          <w:rFonts w:ascii="Calibri" w:cs="Calibri" w:eastAsia="Calibri" w:hAnsi="Calibri"/>
          <w:b/>
          <w:bCs/>
          <w:color w:val="1a6b4e"/>
          <w:sz w:val="28"/>
          <w:szCs w:val="28"/>
        </w:rPr>
        <w:t xml:space="preserve">3. Recursos Asignados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4363"/>
        <w:gridCol w:w="4363"/>
      </w:tblGrid>
      <w:tr>
        <w:tc>
          <w:tcPr>
            <w:tcW w:type="dxa" w:w="3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Recurso</w:t>
            </w:r>
          </w:p>
        </w:tc>
        <w:tc>
          <w:tcPr>
            <w:tcW w:type="dxa" w:w="4363"/>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Cantidad</w:t>
            </w:r>
          </w:p>
        </w:tc>
        <w:tc>
          <w:tcPr>
            <w:tcW w:type="dxa" w:w="4363"/>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Observaciones</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Volquetes 15 m3</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[X] unidades</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Con tolva hermetica, GPS, alarma de retroceso</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Cargador frontal</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Para carga en planta (si aplica)</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Operadores de volquete</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[X] personas</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Con licencia AIIB, EMO vigente, certificacion</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Supervisor de campo</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Oscar Puma Ccallo</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Vigias/cuadradores</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[X]</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En puntos de carga y descarga</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Mecanico en sitio</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Miguel Torres Apaza</w:t>
            </w:r>
          </w:p>
        </w:tc>
      </w:tr>
    </w:tbl>
    <w:p>
      <w:pPr>
        <w:pStyle w:val="Heading1"/>
        <w:spacing w:before="360" w:after="200"/>
      </w:pPr>
      <w:r>
        <w:rPr>
          <w:rFonts w:ascii="Calibri" w:cs="Calibri" w:eastAsia="Calibri" w:hAnsi="Calibri"/>
          <w:b/>
          <w:bCs/>
          <w:color w:val="1a6b4e"/>
          <w:sz w:val="28"/>
          <w:szCs w:val="28"/>
        </w:rPr>
        <w:t xml:space="preserve">4. Ruta de Transporte</w:t>
      </w:r>
    </w:p>
    <w:p>
      <w:pPr>
        <w:spacing w:after="120" w:before="0" w:line="276"/>
        <w:jc w:val="both"/>
      </w:pPr>
      <w:r>
        <w:rPr>
          <w:rFonts w:ascii="Calibri" w:cs="Calibri" w:eastAsia="Calibri" w:hAnsi="Calibri"/>
          <w:b w:val="false"/>
          <w:bCs w:val="false"/>
          <w:i w:val="false"/>
          <w:iCs w:val="false"/>
          <w:color w:val="1E293B"/>
          <w:sz w:val="20"/>
          <w:szCs w:val="20"/>
        </w:rPr>
        <w:t xml:space="preserve">La ruta se define en coordinacion con el cliente e incluye: puntos de carga (planta de filtrado), ruta principal con senalizacion, puntos criticos (curvas cerradas, pendientes &gt;10%, cruces), zonas de descanso/pullover, punto de descarga (deposito de relaves), velocidades maximas por tramo (recta: 40 km/h, curva: 20 km/h, zona de obra: 15 km/h). Se adjunta mapa de ruta como Anexo 1.</w:t>
      </w:r>
    </w:p>
    <w:p>
      <w:pPr>
        <w:pStyle w:val="Heading1"/>
        <w:spacing w:before="360" w:after="200"/>
      </w:pPr>
      <w:r>
        <w:rPr>
          <w:rFonts w:ascii="Calibri" w:cs="Calibri" w:eastAsia="Calibri" w:hAnsi="Calibri"/>
          <w:b/>
          <w:bCs/>
          <w:color w:val="1a6b4e"/>
          <w:sz w:val="28"/>
          <w:szCs w:val="28"/>
        </w:rPr>
        <w:t xml:space="preserve">5. Controles Operacionales</w:t>
      </w:r>
    </w:p>
    <w:p>
      <w:pPr>
        <w:spacing w:after="120" w:before="0" w:line="276"/>
        <w:jc w:val="both"/>
      </w:pPr>
      <w:r>
        <w:rPr>
          <w:rFonts w:ascii="Calibri" w:cs="Calibri" w:eastAsia="Calibri" w:hAnsi="Calibri"/>
          <w:b w:val="false"/>
          <w:bCs w:val="false"/>
          <w:i w:val="false"/>
          <w:iCs w:val="false"/>
          <w:color w:val="1E293B"/>
          <w:sz w:val="20"/>
          <w:szCs w:val="20"/>
        </w:rPr>
        <w:t xml:space="preserve">Pre-operacion: check-list pre-uso diario obligatorio (TP-FOR-SST-001). Carga: verificacion de peso segun capacidad del volquete. No exceder 100% de la capacidad nominal. Transporte: GPS activo, limites de velocidad, comunicacion radial permanente, paradas de descanso cada 4 horas, control de fatiga con sistema de sensor (si disponible). Descarga: vigia permanente en zona de descarga, retroceso controlado con senalizacion, distancia minima al borde del deposito segun indicacion del cliente. Post-operacion: reporte de fin de turno, anomalias detectadas, horometro/kilometraje.</w:t>
      </w:r>
    </w:p>
    <w:p>
      <w:pPr>
        <w:pStyle w:val="Heading1"/>
        <w:spacing w:before="360" w:after="200"/>
      </w:pPr>
      <w:r>
        <w:rPr>
          <w:rFonts w:ascii="Calibri" w:cs="Calibri" w:eastAsia="Calibri" w:hAnsi="Calibri"/>
          <w:b/>
          <w:bCs/>
          <w:color w:val="1a6b4e"/>
          <w:sz w:val="28"/>
          <w:szCs w:val="28"/>
        </w:rPr>
        <w:t xml:space="preserve">6. Indicadores de Desempeno</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
        <w:gridCol w:w="2908"/>
        <w:gridCol w:w="2908"/>
        <w:gridCol w:w="2908"/>
      </w:tblGrid>
      <w:tr>
        <w:tc>
          <w:tcPr>
            <w:tcW w:type="dxa" w:w="3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Indicador</w:t>
            </w:r>
          </w:p>
        </w:tc>
        <w:tc>
          <w:tcPr>
            <w:tcW w:type="dxa" w:w="29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Formula</w:t>
            </w:r>
          </w:p>
        </w:tc>
        <w:tc>
          <w:tcPr>
            <w:tcW w:type="dxa" w:w="29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Meta</w:t>
            </w:r>
          </w:p>
        </w:tc>
        <w:tc>
          <w:tcPr>
            <w:tcW w:type="dxa" w:w="29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Frecuencia</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Viajes completados por dia</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Viajes reales / Viajes programados</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&gt;=95%</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Diario</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Disponibilidad mecanica</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HH operativas / HH disponibles</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&gt;=90%</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Semanal</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Incidentes en ruta</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 incidentes en ruta</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w:t>
            </w:r>
          </w:p>
        </w:tc>
        <w:tc>
          <w:tcPr>
            <w:tcW w:type="dxa" w:w="2908"/>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Diario</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Cumplimiento de horario</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 de viajes dentro de horario</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&gt;=90%</w:t>
            </w:r>
          </w:p>
        </w:tc>
        <w:tc>
          <w:tcPr>
            <w:tcW w:type="dxa" w:w="2908"/>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Semanal</w:t>
            </w:r>
          </w:p>
        </w:tc>
      </w:tr>
    </w:tbl>
    <w:p>
      <w:r>
        <w:br w:type="page"/>
      </w:r>
    </w:p>
    <w:p>
      <w:pPr>
        <w:pStyle w:val="Heading1"/>
        <w:spacing w:before="360" w:after="200"/>
      </w:pPr>
      <w:r>
        <w:rPr>
          <w:rFonts w:ascii="Calibri" w:cs="Calibri" w:eastAsia="Calibri" w:hAnsi="Calibri"/>
          <w:b/>
          <w:bCs/>
          <w:color w:val="1a6b4e"/>
          <w:sz w:val="28"/>
          <w:szCs w:val="28"/>
        </w:rPr>
        <w:t xml:space="preserve">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INNOVAQ SOLUTIONS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Giancarlo Huamani C.
Ing.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r>
    </w:tbl>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2"/>
        <w:szCs w:val="12"/>
      </w:rPr>
      <w:t xml:space="preserve">Confidencial — Tours Panasur E.I.R.L.</w:t>
    </w:r>
    <w:r>
      <w:t xml:space="preserve">	Pag </w:t>
    </w:r>
    <w:r>
      <w:rPr>
        <w:rFonts w:ascii="Calibri" w:cs="Calibri" w:eastAsia="Calibri" w:hAnsi="Calibri"/>
        <w:color w:val="64748B"/>
        <w:sz w:val="12"/>
        <w:szCs w:val="12"/>
      </w:rPr>
      <w:fldChar w:fldCharType="begin"/>
      <w:instrText xml:space="preserve">PAGE</w:instrText>
      <w:fldChar w:fldCharType="separate"/>
      <w:fldChar w:fldCharType="end"/>
    </w:r>
    <w:r>
      <w:rPr>
        <w:rFonts w:ascii="Calibri" w:cs="Calibri" w:eastAsia="Calibri" w:hAnsi="Calibri"/>
        <w:color w:val="64748B"/>
        <w:sz w:val="12"/>
        <w:szCs w:val="12"/>
      </w:rPr>
      <w:t xml:space="preserve"> / </w:t>
    </w:r>
    <w:r>
      <w:rPr>
        <w:rFonts w:ascii="Calibri" w:cs="Calibri" w:eastAsia="Calibri" w:hAnsi="Calibri"/>
        <w:color w:val="64748B"/>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4"/>
        <w:szCs w:val="14"/>
      </w:rPr>
      <w:t xml:space="preserve">TOURS PANASUR E.I.R.L.</w:t>
    </w:r>
    <w:r>
      <w:rPr>
        <w:rFonts w:ascii="Calibri" w:cs="Calibri" w:eastAsia="Calibri" w:hAnsi="Calibri"/>
        <w:color w:val="64748B"/>
        <w:sz w:val="12"/>
        <w:szCs w:val="12"/>
      </w:rPr>
      <w:t xml:space="preserve">	TP-PLA-OPE-001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28"/>
      <w:szCs w:val="28"/>
    </w:rPr>
  </w:style>
  <w:style w:type="paragraph" w:styleId="Heading2">
    <w:name w:val="Heading 2"/>
    <w:basedOn w:val="Normal"/>
    <w:next w:val="Normal"/>
    <w:qFormat/>
    <w:pPr>
      <w:spacing w:before="240" w:after="140"/>
      <w:outlineLvl w:val="1"/>
    </w:pPr>
    <w:rPr>
      <w:rFonts w:ascii="Calibri" w:cs="Calibri" w:eastAsia="Calibri" w:hAnsi="Calibri"/>
      <w:b/>
      <w:bCs/>
      <w:color w:val="1a6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2026-03-08T11:07:56.559Z</dcterms:created>
  <dcterms:modified xsi:type="dcterms:W3CDTF">2026-03-08T11:07:56.559Z</dcterms:modified>
</cp:coreProperties>
</file>

<file path=docProps/custom.xml><?xml version="1.0" encoding="utf-8"?>
<Properties xmlns="http://schemas.openxmlformats.org/officeDocument/2006/custom-properties" xmlns:vt="http://schemas.openxmlformats.org/officeDocument/2006/docPropsVTypes"/>
</file>