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0"/>
          <w:szCs w:val="20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6"/>
          <w:szCs w:val="16"/>
        </w:rPr>
        <w:t xml:space="preserve">RUC: 20259263230</w:t>
      </w:r>
    </w:p>
    <w:p>
      <w:pPr>
        <w:spacing w:before="10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0"/>
          <w:szCs w:val="30"/>
        </w:rPr>
        <w:t xml:space="preserve">PLAN ANUAL DE SEGURIDAD Y SALUD EN EL TRABAJO 2026</w:t>
      </w:r>
    </w:p>
    <w:p>
      <w:pPr>
        <w:spacing w:before="6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16"/>
          <w:szCs w:val="16"/>
        </w:rPr>
        <w:t xml:space="preserve">Area: SST | ISO 45001:2018 (6.2), Ley 29783, DS 005-2012-TR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TP-PLA-SST-001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Version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Fecha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 SAC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Revisado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Calero</w:t>
            </w:r>
          </w:p>
        </w:tc>
      </w:tr>
      <w:tr>
        <w:tc>
          <w:tcPr>
            <w:tcW w:type="dxa" w:w="2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Aprobado por</w:t>
            </w:r>
          </w:p>
        </w:tc>
        <w:tc>
          <w:tcPr>
            <w:tcW w:type="dxa" w:w="6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1.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todas las actividades de Tours Panasur E.I.R.L. durante el periodo enero-diciembre 2026, incluyendo operaciones de transporte de carga por carretera, transporte de relaves filtrados, obras de ingenieria en proyectos de clientes (San Gabriel, Cerro Verde, Engie) y actividades de mantenimiento en base Arequipa.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2. Linea Base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Estadisticas 2025: 0 accidentes mortales, 1 accidente con tiempo perdido (3 dias), 2 incidentes sin lesion, 3 cuasi-accidentes reportados. IF = 0, IS = 0, IA = 0 (no se registraron accidentes con tiempo perdido en el periodo principal). Total HHT 2025: 125,000 horas. Personal promedio: 20 trabajadores.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3. Politica de SST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Tours Panasur se compromete a proteger la vida, la salud y la integridad de sus trabajadores, contratistas y visitantes, cumpliendo con la legislacion peruana vigente (Ley 29783, DS 005-2012-TR, DS 024-2016-EM) y los requisitos de ISO 45001:2018. La Politica SSTMA (TP-POL-SIG-001) es comunicada a todo el personal y partes interesadas.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4. Objetivos y Metas SST 2026</w:t>
      </w:r>
    </w:p>
    <w:tbl>
      <w:tblPr>
        <w:tblW w:type="dxa" w:w="90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181"/>
        <w:gridCol w:w="2181"/>
        <w:gridCol w:w="2181"/>
        <w:gridCol w:w="2181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Objetivo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Indicador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Meta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Frecuencia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Cero accidentes mortales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N° accidentes mortales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Anual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Gerencia General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Reducir indice de frecuencia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IF = (Acc x 1M) / HHT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&lt; 5.0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Reducir indice de severidad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IS = (Dias perdidos x 1M) / HHT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&lt; 100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Cumplir programa de capacitaciones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% ejecucion del programa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&gt;=90%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Cumplir programa de inspecciones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% inspecciones ejecutadas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&gt;=90%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100% personal con EMO vigente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% personal con EMO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100%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Administrador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100% personal con induccion completa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% induccion completada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100%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Continuo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Reporte de condiciones inseguras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N° reportes por mes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&gt;=10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Mensual</w:t>
            </w:r>
          </w:p>
        </w:tc>
        <w:tc>
          <w:tcPr>
            <w:tcW w:type="dxa" w:w="218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Todo personal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5. Comite de Seguridad y Salud en el Trabajo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El CSST de Tours Panasur esta conformado por 6 miembros (3 representantes del empleador + 3 representantes de los trabajadores), instalado mediante acta TP-ACT-SST-001 con vigencia julio 2025 a julio 2027. Se reune mensualmente el primer viernes de cada mes. Presidente: Timoteo Huamani. Secretario: Giancarlo Huamani Calero.</w:t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6. Programa de Actividades SST 2026</w:t>
      </w:r>
    </w:p>
    <w:tbl>
      <w:tblPr>
        <w:tblW w:type="dxa" w:w="90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Actividad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Ene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Feb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Mar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Abr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May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Jun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Jul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Ago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Sep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Oct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Nov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Dic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Reunion CSST mensual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 seguridad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Inspeccion de vehiculos (diaria)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Operadores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Capacitacion SST (segun programa)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Simulacro de emergencia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Monitoreo de agentes fisicos/quimicos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Proveedor externo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EMO anuales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Clinica ocupacional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Revision de IPERC Linea Base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Auditoria interna SST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Auditor Lider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Revision por la Direccion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Gerencia General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Actualizacion de PETS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Supervisor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Difusion de politica SSTMA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X</w:t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/>
            </w:r>
          </w:p>
        </w:tc>
        <w:tc>
          <w:tcPr>
            <w:tcW w:type="dxa" w:w="671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Ing. SST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7. Presupuesto SST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8726"/>
      </w:tblGrid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Rubro</w:t>
            </w:r>
          </w:p>
        </w:tc>
        <w:tc>
          <w:tcPr>
            <w:tcW w:type="dxa" w:w="8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Monto Estimado (S/)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Equipos de Proteccion Personal</w:t>
            </w:r>
          </w:p>
        </w:tc>
        <w:tc>
          <w:tcPr>
            <w:tcW w:type="dxa" w:w="8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18,000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Capacitaciones y certificaciones</w:t>
            </w:r>
          </w:p>
        </w:tc>
        <w:tc>
          <w:tcPr>
            <w:tcW w:type="dxa" w:w="8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12,000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Examenes medicos ocupacionales</w:t>
            </w:r>
          </w:p>
        </w:tc>
        <w:tc>
          <w:tcPr>
            <w:tcW w:type="dxa" w:w="8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15,000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Monitoreo ambiental (agentes)</w:t>
            </w:r>
          </w:p>
        </w:tc>
        <w:tc>
          <w:tcPr>
            <w:tcW w:type="dxa" w:w="8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8,000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Equipos de emergencia (extintores, botiquines, kits)</w:t>
            </w:r>
          </w:p>
        </w:tc>
        <w:tc>
          <w:tcPr>
            <w:tcW w:type="dxa" w:w="8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5,000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Senalizacion de seguridad</w:t>
            </w:r>
          </w:p>
        </w:tc>
        <w:tc>
          <w:tcPr>
            <w:tcW w:type="dxa" w:w="8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3,000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Implementacion SIG 360 (plataforma)</w:t>
            </w:r>
          </w:p>
        </w:tc>
        <w:tc>
          <w:tcPr>
            <w:tcW w:type="dxa" w:w="8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10,000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Imprevistos (10%)</w:t>
            </w:r>
          </w:p>
        </w:tc>
        <w:tc>
          <w:tcPr>
            <w:tcW w:type="dxa" w:w="8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7,100</w:t>
            </w:r>
          </w:p>
        </w:tc>
      </w:tr>
      <w:tr>
        <w:tc>
          <w:tcPr>
            <w:tcW w:type="dxa" w:w="3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TOTAL</w:t>
            </w:r>
          </w:p>
        </w:tc>
        <w:tc>
          <w:tcPr>
            <w:tcW w:type="dxa" w:w="8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78,100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8. Indicadores de Gestion SST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Se monitorearan mensualmente los siguientes indicadores: Indice de Frecuencia (IF), Indice de Severidad (IS), Indice de Accidentabilidad (IA), % de cumplimiento del programa de capacitaciones, % de cumplimiento del programa de inspecciones, N° de reportes de condiciones inseguras, N° de charlas de 5 minutos ejecutadas, Disponibilidad mecanica de la flota. Los resultados se presentan en el Dashboard SST del SIG 360 y en las reuniones mensuales del CSST.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a6b4e"/>
          <w:sz w:val="28"/>
          <w:szCs w:val="28"/>
        </w:rPr>
        <w:t xml:space="preserve">Firmas de Aprobacion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Elaborado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Revisado por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Aprobado por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INNOVAQ SOLUTIONS
Consultor SIG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Giancarlo Huamani C.
Ing. SST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Timoteo Huamani
Gerente General</w:t>
            </w:r>
          </w:p>
        </w:tc>
      </w:tr>
      <w:tr>
        <w:tc>
          <w:tcPr>
            <w:tcW w:type="dxa" w:w="3008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  <w:tc>
          <w:tcPr>
            <w:tcW w:type="dxa" w:w="3009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Firma: ______________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2"/>
        <w:szCs w:val="12"/>
      </w:rPr>
      <w:t xml:space="preserve">Confidencial — Tours Panasur E.I.R.L.</w:t>
    </w:r>
    <w:r>
      <w:t xml:space="preserve">	Pag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2"/>
        <w:szCs w:val="12"/>
      </w:rPr>
      <w:t xml:space="preserve"> / </w:t>
    </w:r>
    <w:r>
      <w:rPr>
        <w:rFonts w:ascii="Calibri" w:cs="Calibri" w:eastAsia="Calibri" w:hAnsi="Calibri"/>
        <w:color w:val="64748B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4"/>
        <w:szCs w:val="14"/>
      </w:rPr>
      <w:t xml:space="preserve">TOURS PANASUR E.I.R.L.</w:t>
    </w:r>
    <w:r>
      <w:rPr>
        <w:rFonts w:ascii="Calibri" w:cs="Calibri" w:eastAsia="Calibri" w:hAnsi="Calibri"/>
        <w:color w:val="64748B"/>
        <w:sz w:val="12"/>
        <w:szCs w:val="12"/>
      </w:rPr>
      <w:t xml:space="preserve">	TP-PLA-SST-001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a6b4e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Calibri" w:cs="Calibri" w:eastAsia="Calibri" w:hAnsi="Calibri"/>
      <w:b/>
      <w:bCs/>
      <w:color w:val="1a6b4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2026-03-08T11:07:56.154Z</dcterms:created>
  <dcterms:modified xsi:type="dcterms:W3CDTF">2026-03-08T11:07:56.155Z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