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spacing w:after="120" w:before="0" w:line="276"/>
        <w:jc w:val="center"/>
      </w:pPr>
      <w:r>
        <w:rPr>
          <w:rFonts w:ascii="Calibri" w:cs="Calibri" w:eastAsia="Calibri" w:hAnsi="Calibri"/>
          <w:b/>
          <w:bCs/>
          <w:i w:val="false"/>
          <w:iCs w:val="false"/>
          <w:color w:val="64748B"/>
          <w:sz w:val="20"/>
          <w:szCs w:val="20"/>
        </w:rPr>
        <w:t xml:space="preserve">TOURS PANASUR E.I.R.L.</w:t>
      </w:r>
    </w:p>
    <w:p>
      <w:pPr>
        <w:spacing w:after="200" w:before="0" w:line="276"/>
        <w:jc w:val="center"/>
      </w:pPr>
      <w:r>
        <w:rPr>
          <w:rFonts w:ascii="Calibri" w:cs="Calibri" w:eastAsia="Calibri" w:hAnsi="Calibri"/>
          <w:b w:val="false"/>
          <w:bCs w:val="false"/>
          <w:i w:val="false"/>
          <w:iCs w:val="false"/>
          <w:color w:val="64748B"/>
          <w:sz w:val="16"/>
          <w:szCs w:val="16"/>
        </w:rPr>
        <w:t xml:space="preserve">RUC: 20259263230</w:t>
      </w:r>
    </w:p>
    <w:p>
      <w:pPr>
        <w:spacing w:before="100" w:after="0"/>
      </w:pPr>
    </w:p>
    <w:p>
      <w:pPr>
        <w:spacing w:after="200" w:before="0" w:line="276"/>
        <w:jc w:val="center"/>
      </w:pPr>
      <w:r>
        <w:rPr>
          <w:rFonts w:ascii="Calibri" w:cs="Calibri" w:eastAsia="Calibri" w:hAnsi="Calibri"/>
          <w:b/>
          <w:bCs/>
          <w:i w:val="false"/>
          <w:iCs w:val="false"/>
          <w:color w:val="1a6b4e"/>
          <w:sz w:val="30"/>
          <w:szCs w:val="30"/>
        </w:rPr>
        <w:t xml:space="preserve">PLAN DE SEGURIDAD DE OBRA (MODELO POR PROYECTO)</w:t>
      </w:r>
    </w:p>
    <w:p>
      <w:pPr>
        <w:spacing w:before="60" w:after="0"/>
      </w:pPr>
    </w:p>
    <w:p>
      <w:pPr>
        <w:spacing w:after="120" w:before="0" w:line="276"/>
        <w:jc w:val="center"/>
      </w:pPr>
      <w:r>
        <w:rPr>
          <w:rFonts w:ascii="Calibri" w:cs="Calibri" w:eastAsia="Calibri" w:hAnsi="Calibri"/>
          <w:b w:val="false"/>
          <w:bCs w:val="false"/>
          <w:i/>
          <w:iCs/>
          <w:color w:val="64748B"/>
          <w:sz w:val="16"/>
          <w:szCs w:val="16"/>
        </w:rPr>
        <w:t xml:space="preserve">Area: SST | ISO 45001:2018 (8.1), G.050, DS 024-2016-EM</w:t>
      </w:r>
    </w:p>
    <w:p>
      <w:pPr>
        <w:spacing w:before="3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5"/>
                <w:szCs w:val="15"/>
              </w:rPr>
              <w:t xml:space="preserve">Codigo</w:t>
            </w:r>
          </w:p>
        </w:tc>
        <w:tc>
          <w:tcPr>
            <w:tcW w:type="dxa" w:w="6826"/>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TP-PLA-SST-003</w:t>
            </w:r>
          </w:p>
        </w:tc>
      </w:tr>
      <w:tr>
        <w:tc>
          <w:tcPr>
            <w:tcW w:type="dxa" w:w="22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5"/>
                <w:szCs w:val="15"/>
              </w:rPr>
              <w:t xml:space="preserve">Version</w:t>
            </w:r>
          </w:p>
        </w:tc>
        <w:tc>
          <w:tcPr>
            <w:tcW w:type="dxa" w:w="6826"/>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1.0</w:t>
            </w:r>
          </w:p>
        </w:tc>
      </w:tr>
      <w:tr>
        <w:tc>
          <w:tcPr>
            <w:tcW w:type="dxa" w:w="22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5"/>
                <w:szCs w:val="15"/>
              </w:rPr>
              <w:t xml:space="preserve">Fecha</w:t>
            </w:r>
          </w:p>
        </w:tc>
        <w:tc>
          <w:tcPr>
            <w:tcW w:type="dxa" w:w="6826"/>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08 de Marzo de 2026</w:t>
            </w:r>
          </w:p>
        </w:tc>
      </w:tr>
      <w:tr>
        <w:tc>
          <w:tcPr>
            <w:tcW w:type="dxa" w:w="22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5"/>
                <w:szCs w:val="15"/>
              </w:rPr>
              <w:t xml:space="preserve">Elaborado por</w:t>
            </w:r>
          </w:p>
        </w:tc>
        <w:tc>
          <w:tcPr>
            <w:tcW w:type="dxa" w:w="6826"/>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INNOVAQ SOLUTIONS SAC</w:t>
            </w:r>
          </w:p>
        </w:tc>
      </w:tr>
      <w:tr>
        <w:tc>
          <w:tcPr>
            <w:tcW w:type="dxa" w:w="22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5"/>
                <w:szCs w:val="15"/>
              </w:rPr>
              <w:t xml:space="preserve">Revisado por</w:t>
            </w:r>
          </w:p>
        </w:tc>
        <w:tc>
          <w:tcPr>
            <w:tcW w:type="dxa" w:w="6826"/>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Giancarlo Huamani Calero</w:t>
            </w:r>
          </w:p>
        </w:tc>
      </w:tr>
      <w:tr>
        <w:tc>
          <w:tcPr>
            <w:tcW w:type="dxa" w:w="22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5"/>
                <w:szCs w:val="15"/>
              </w:rPr>
              <w:t xml:space="preserve">Aprobado por</w:t>
            </w:r>
          </w:p>
        </w:tc>
        <w:tc>
          <w:tcPr>
            <w:tcW w:type="dxa" w:w="6826"/>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Timoteo Huamani</w:t>
            </w:r>
          </w:p>
        </w:tc>
      </w:tr>
    </w:tbl>
    <w:p>
      <w:r>
        <w:br w:type="page"/>
      </w:r>
    </w:p>
    <w:p>
      <w:pPr>
        <w:pStyle w:val="Heading1"/>
        <w:spacing w:before="360" w:after="200"/>
      </w:pPr>
      <w:r>
        <w:rPr>
          <w:rFonts w:ascii="Calibri" w:cs="Calibri" w:eastAsia="Calibri" w:hAnsi="Calibri"/>
          <w:b/>
          <w:bCs/>
          <w:color w:val="1a6b4e"/>
          <w:sz w:val="28"/>
          <w:szCs w:val="28"/>
        </w:rPr>
        <w:t xml:space="preserve">1. Objetivo</w:t>
      </w:r>
    </w:p>
    <w:p>
      <w:pPr>
        <w:spacing w:after="120" w:before="0" w:line="276"/>
        <w:jc w:val="both"/>
      </w:pPr>
      <w:r>
        <w:rPr>
          <w:rFonts w:ascii="Calibri" w:cs="Calibri" w:eastAsia="Calibri" w:hAnsi="Calibri"/>
          <w:b w:val="false"/>
          <w:bCs w:val="false"/>
          <w:i w:val="false"/>
          <w:iCs w:val="false"/>
          <w:color w:val="1E293B"/>
          <w:sz w:val="20"/>
          <w:szCs w:val="20"/>
        </w:rPr>
        <w:t xml:space="preserve">Establecer las medidas de seguridad y salud en el trabajo especificas para el proyecto [NOMBRE DEL PROYECTO], asegurando la proteccion de todos los trabajadores de Tours Panasur durante la ejecucion de las actividades contratadas.</w:t>
      </w:r>
    </w:p>
    <w:p>
      <w:pPr>
        <w:pStyle w:val="Heading1"/>
        <w:spacing w:before="360" w:after="200"/>
      </w:pPr>
      <w:r>
        <w:rPr>
          <w:rFonts w:ascii="Calibri" w:cs="Calibri" w:eastAsia="Calibri" w:hAnsi="Calibri"/>
          <w:b/>
          <w:bCs/>
          <w:color w:val="1a6b4e"/>
          <w:sz w:val="28"/>
          <w:szCs w:val="28"/>
        </w:rPr>
        <w:t xml:space="preserve">2. Datos del Proyecto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8726"/>
      </w:tblGrid>
      <w:tr>
        <w:tc>
          <w:tcPr>
            <w:tcW w:type="dxa" w:w="3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5"/>
                <w:szCs w:val="15"/>
              </w:rPr>
              <w:t xml:space="preserve">Campo</w:t>
            </w:r>
          </w:p>
        </w:tc>
        <w:tc>
          <w:tcPr>
            <w:tcW w:type="dxa" w:w="8726"/>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5"/>
                <w:szCs w:val="15"/>
              </w:rPr>
              <w:t xml:space="preserve">Detalle</w:t>
            </w:r>
          </w:p>
        </w:tc>
      </w:tr>
      <w:tr>
        <w:tc>
          <w:tcPr>
            <w:tcW w:type="dxa" w:w="300"/>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Cliente</w:t>
            </w:r>
          </w:p>
        </w:tc>
        <w:tc>
          <w:tcPr>
            <w:tcW w:type="dxa" w:w="8726"/>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[Nombre del cliente — ej: Cia. Minera Buenaventura]</w:t>
            </w:r>
          </w:p>
        </w:tc>
      </w:tr>
      <w:tr>
        <w:tc>
          <w:tcPr>
            <w:tcW w:type="dxa" w:w="300"/>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Proyecto</w:t>
            </w:r>
          </w:p>
        </w:tc>
        <w:tc>
          <w:tcPr>
            <w:tcW w:type="dxa" w:w="8726"/>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[Nombre — ej: Deposito de Relaves Filtrados San Gabriel]</w:t>
            </w:r>
          </w:p>
        </w:tc>
      </w:tr>
      <w:tr>
        <w:tc>
          <w:tcPr>
            <w:tcW w:type="dxa" w:w="300"/>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Ubicacion</w:t>
            </w:r>
          </w:p>
        </w:tc>
        <w:tc>
          <w:tcPr>
            <w:tcW w:type="dxa" w:w="8726"/>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[Ubicacion — ej: Challhuahuacho, Apurimac, 4,500 msnm]</w:t>
            </w:r>
          </w:p>
        </w:tc>
      </w:tr>
      <w:tr>
        <w:tc>
          <w:tcPr>
            <w:tcW w:type="dxa" w:w="300"/>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Alcance de Tours Panasur</w:t>
            </w:r>
          </w:p>
        </w:tc>
        <w:tc>
          <w:tcPr>
            <w:tcW w:type="dxa" w:w="8726"/>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[ej: Transporte de relaves filtrados planta-deposito]</w:t>
            </w:r>
          </w:p>
        </w:tc>
      </w:tr>
      <w:tr>
        <w:tc>
          <w:tcPr>
            <w:tcW w:type="dxa" w:w="300"/>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Periodo</w:t>
            </w:r>
          </w:p>
        </w:tc>
        <w:tc>
          <w:tcPr>
            <w:tcW w:type="dxa" w:w="8726"/>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[Fecha inicio] al [Fecha fin]</w:t>
            </w:r>
          </w:p>
        </w:tc>
      </w:tr>
      <w:tr>
        <w:tc>
          <w:tcPr>
            <w:tcW w:type="dxa" w:w="300"/>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N° de trabajadores Tours Panasur</w:t>
            </w:r>
          </w:p>
        </w:tc>
        <w:tc>
          <w:tcPr>
            <w:tcW w:type="dxa" w:w="8726"/>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[Cantidad]</w:t>
            </w:r>
          </w:p>
        </w:tc>
      </w:tr>
      <w:tr>
        <w:tc>
          <w:tcPr>
            <w:tcW w:type="dxa" w:w="300"/>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Ing. de Seguridad asignado</w:t>
            </w:r>
          </w:p>
        </w:tc>
        <w:tc>
          <w:tcPr>
            <w:tcW w:type="dxa" w:w="8726"/>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Giancarlo Huamani Calero</w:t>
            </w:r>
          </w:p>
        </w:tc>
      </w:tr>
      <w:tr>
        <w:tc>
          <w:tcPr>
            <w:tcW w:type="dxa" w:w="300"/>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Supervisor de Campo</w:t>
            </w:r>
          </w:p>
        </w:tc>
        <w:tc>
          <w:tcPr>
            <w:tcW w:type="dxa" w:w="8726"/>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Oscar Puma Ccallo</w:t>
            </w:r>
          </w:p>
        </w:tc>
      </w:tr>
    </w:tbl>
    <w:p>
      <w:pPr>
        <w:pStyle w:val="Heading1"/>
        <w:spacing w:before="360" w:after="200"/>
      </w:pPr>
      <w:r>
        <w:rPr>
          <w:rFonts w:ascii="Calibri" w:cs="Calibri" w:eastAsia="Calibri" w:hAnsi="Calibri"/>
          <w:b/>
          <w:bCs/>
          <w:color w:val="1a6b4e"/>
          <w:sz w:val="28"/>
          <w:szCs w:val="28"/>
        </w:rPr>
        <w:t xml:space="preserve">3. Analisis de Riesgos Criticos del Proyecto</w:t>
      </w:r>
    </w:p>
    <w:p>
      <w:pPr>
        <w:spacing w:after="120" w:before="0" w:line="276"/>
        <w:jc w:val="both"/>
      </w:pPr>
      <w:r>
        <w:rPr>
          <w:rFonts w:ascii="Calibri" w:cs="Calibri" w:eastAsia="Calibri" w:hAnsi="Calibri"/>
          <w:b w:val="false"/>
          <w:bCs w:val="false"/>
          <w:i w:val="false"/>
          <w:iCs w:val="false"/>
          <w:color w:val="1E293B"/>
          <w:sz w:val="20"/>
          <w:szCs w:val="20"/>
        </w:rPr>
        <w:t xml:space="preserve">Se identifican los riesgos criticos especificos del proyecto basados en la IPERC del sitio y los requisitos del cliente. Los riesgos criticos tipicos incluyen: conduccion en ruta de montana (&gt;4,000 msnm), mal de altura (soroche), volcadura, caida de rocas, exposicion a material de relaves, tormentas electricas en altitud, fatiga por jornada extendida, interaccion con equipos pesados del cliente. Para cada riesgo se definen controles especificos alineados con la jerarquia de controles (TP-PRO-SST-001).</w:t>
      </w:r>
    </w:p>
    <w:p>
      <w:pPr>
        <w:pStyle w:val="Heading1"/>
        <w:spacing w:before="360" w:after="200"/>
      </w:pPr>
      <w:r>
        <w:rPr>
          <w:rFonts w:ascii="Calibri" w:cs="Calibri" w:eastAsia="Calibri" w:hAnsi="Calibri"/>
          <w:b/>
          <w:bCs/>
          <w:color w:val="1a6b4e"/>
          <w:sz w:val="28"/>
          <w:szCs w:val="28"/>
        </w:rPr>
        <w:t xml:space="preserve">4. Requisitos de Ingreso a Obra</w:t>
      </w:r>
    </w:p>
    <w:p>
      <w:pPr>
        <w:spacing w:after="120" w:before="0" w:line="276"/>
        <w:jc w:val="both"/>
      </w:pPr>
      <w:r>
        <w:rPr>
          <w:rFonts w:ascii="Calibri" w:cs="Calibri" w:eastAsia="Calibri" w:hAnsi="Calibri"/>
          <w:b w:val="false"/>
          <w:bCs w:val="false"/>
          <w:i w:val="false"/>
          <w:iCs w:val="false"/>
          <w:color w:val="1E293B"/>
          <w:sz w:val="20"/>
          <w:szCs w:val="20"/>
        </w:rPr>
        <w:t xml:space="preserve">Todo personal de Tours Panasur debe cumplir ANTES de ingresar al proyecto: EMO de ingreso (apto para trabajo en altura si &gt;3,000 msnm), Induccion general Tours Panasur completada, Induccion del cliente completada y aprobada, SCTR vigente (salud + pension), Certificaciones de trabajos de alto riesgo vigentes, Licencia de conducir de categoria adecuada y vigente, Entrega de EPP completo con cargo firmado, Aclimatacion de 3 dias si proyecto &gt;4,000 msnm.</w:t>
      </w:r>
    </w:p>
    <w:p>
      <w:pPr>
        <w:pStyle w:val="Heading1"/>
        <w:spacing w:before="360" w:after="200"/>
      </w:pPr>
      <w:r>
        <w:rPr>
          <w:rFonts w:ascii="Calibri" w:cs="Calibri" w:eastAsia="Calibri" w:hAnsi="Calibri"/>
          <w:b/>
          <w:bCs/>
          <w:color w:val="1a6b4e"/>
          <w:sz w:val="28"/>
          <w:szCs w:val="28"/>
        </w:rPr>
        <w:t xml:space="preserve">5. EPP Obligatorio en Proyecto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4363"/>
        <w:gridCol w:w="4363"/>
      </w:tblGrid>
      <w:tr>
        <w:tc>
          <w:tcPr>
            <w:tcW w:type="dxa" w:w="300"/>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5"/>
                <w:szCs w:val="15"/>
              </w:rPr>
              <w:t xml:space="preserve">EPP</w:t>
            </w:r>
          </w:p>
        </w:tc>
        <w:tc>
          <w:tcPr>
            <w:tcW w:type="dxa" w:w="4363"/>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5"/>
                <w:szCs w:val="15"/>
              </w:rPr>
              <w:t xml:space="preserve">Norma Tecnica</w:t>
            </w:r>
          </w:p>
        </w:tc>
        <w:tc>
          <w:tcPr>
            <w:tcW w:type="dxa" w:w="4363"/>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left"/>
            </w:pPr>
            <w:r>
              <w:rPr>
                <w:rFonts w:ascii="Calibri" w:cs="Calibri" w:eastAsia="Calibri" w:hAnsi="Calibri"/>
                <w:b/>
                <w:bCs/>
                <w:color w:val="FFFFFF"/>
                <w:sz w:val="15"/>
                <w:szCs w:val="15"/>
              </w:rPr>
              <w:t xml:space="preserve">Observaciones</w:t>
            </w:r>
          </w:p>
        </w:tc>
      </w:tr>
      <w:tr>
        <w:tc>
          <w:tcPr>
            <w:tcW w:type="dxa" w:w="300"/>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Casco de seguridad con barbiquejo</w:t>
            </w:r>
          </w:p>
        </w:tc>
        <w:tc>
          <w:tcPr>
            <w:tcW w:type="dxa" w:w="4363"/>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ANSI Z89.1</w:t>
            </w:r>
          </w:p>
        </w:tc>
        <w:tc>
          <w:tcPr>
            <w:tcW w:type="dxa" w:w="4363"/>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Obligatorio permanente en zona de obra</w:t>
            </w:r>
          </w:p>
        </w:tc>
      </w:tr>
      <w:tr>
        <w:tc>
          <w:tcPr>
            <w:tcW w:type="dxa" w:w="300"/>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Lentes de seguridad</w:t>
            </w:r>
          </w:p>
        </w:tc>
        <w:tc>
          <w:tcPr>
            <w:tcW w:type="dxa" w:w="4363"/>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ANSI Z87.1</w:t>
            </w:r>
          </w:p>
        </w:tc>
        <w:tc>
          <w:tcPr>
            <w:tcW w:type="dxa" w:w="4363"/>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Transparentes (dia) y oscuros (sol intenso en altitud)</w:t>
            </w:r>
          </w:p>
        </w:tc>
      </w:tr>
      <w:tr>
        <w:tc>
          <w:tcPr>
            <w:tcW w:type="dxa" w:w="300"/>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Botas de seguridad punta de acero</w:t>
            </w:r>
          </w:p>
        </w:tc>
        <w:tc>
          <w:tcPr>
            <w:tcW w:type="dxa" w:w="4363"/>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ASTM F2413</w:t>
            </w:r>
          </w:p>
        </w:tc>
        <w:tc>
          <w:tcPr>
            <w:tcW w:type="dxa" w:w="4363"/>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Obligatorio permanente</w:t>
            </w:r>
          </w:p>
        </w:tc>
      </w:tr>
      <w:tr>
        <w:tc>
          <w:tcPr>
            <w:tcW w:type="dxa" w:w="300"/>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Guantes de seguridad</w:t>
            </w:r>
          </w:p>
        </w:tc>
        <w:tc>
          <w:tcPr>
            <w:tcW w:type="dxa" w:w="4363"/>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Segun actividad</w:t>
            </w:r>
          </w:p>
        </w:tc>
        <w:tc>
          <w:tcPr>
            <w:tcW w:type="dxa" w:w="4363"/>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Cuero (mecanica), nitrilo (quimicos), badana (general)</w:t>
            </w:r>
          </w:p>
        </w:tc>
      </w:tr>
      <w:tr>
        <w:tc>
          <w:tcPr>
            <w:tcW w:type="dxa" w:w="300"/>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Chaleco reflectivo</w:t>
            </w:r>
          </w:p>
        </w:tc>
        <w:tc>
          <w:tcPr>
            <w:tcW w:type="dxa" w:w="4363"/>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ANSI 107 Clase 2</w:t>
            </w:r>
          </w:p>
        </w:tc>
        <w:tc>
          <w:tcPr>
            <w:tcW w:type="dxa" w:w="4363"/>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Obligatorio permanente en zona de obra</w:t>
            </w:r>
          </w:p>
        </w:tc>
      </w:tr>
      <w:tr>
        <w:tc>
          <w:tcPr>
            <w:tcW w:type="dxa" w:w="300"/>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Proteccion auditiva</w:t>
            </w:r>
          </w:p>
        </w:tc>
        <w:tc>
          <w:tcPr>
            <w:tcW w:type="dxa" w:w="4363"/>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NRR 25 dB minimo</w:t>
            </w:r>
          </w:p>
        </w:tc>
        <w:tc>
          <w:tcPr>
            <w:tcW w:type="dxa" w:w="4363"/>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Tapones u orejeras segun nivel de ruido</w:t>
            </w:r>
          </w:p>
        </w:tc>
      </w:tr>
      <w:tr>
        <w:tc>
          <w:tcPr>
            <w:tcW w:type="dxa" w:w="300"/>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Respirador con filtros P100</w:t>
            </w:r>
          </w:p>
        </w:tc>
        <w:tc>
          <w:tcPr>
            <w:tcW w:type="dxa" w:w="4363"/>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NIOSH 42 CFR 84</w:t>
            </w:r>
          </w:p>
        </w:tc>
        <w:tc>
          <w:tcPr>
            <w:tcW w:type="dxa" w:w="4363"/>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Para actividades con exposicion a polvo/relaves</w:t>
            </w:r>
          </w:p>
        </w:tc>
      </w:tr>
      <w:tr>
        <w:tc>
          <w:tcPr>
            <w:tcW w:type="dxa" w:w="300"/>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Arnes de seguridad 4 puntos</w:t>
            </w:r>
          </w:p>
        </w:tc>
        <w:tc>
          <w:tcPr>
            <w:tcW w:type="dxa" w:w="4363"/>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ANSI Z359.1</w:t>
            </w:r>
          </w:p>
        </w:tc>
        <w:tc>
          <w:tcPr>
            <w:tcW w:type="dxa" w:w="4363"/>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Para trabajos en altura &gt;1.8m</w:t>
            </w:r>
          </w:p>
        </w:tc>
      </w:tr>
      <w:tr>
        <w:tc>
          <w:tcPr>
            <w:tcW w:type="dxa" w:w="300"/>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Bloqueador solar FPS 50+</w:t>
            </w:r>
          </w:p>
        </w:tc>
        <w:tc>
          <w:tcPr>
            <w:tcW w:type="dxa" w:w="4363"/>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w:t>
            </w:r>
          </w:p>
        </w:tc>
        <w:tc>
          <w:tcPr>
            <w:tcW w:type="dxa" w:w="4363"/>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color w:val="1E293B"/>
                <w:sz w:val="17"/>
                <w:szCs w:val="17"/>
              </w:rPr>
              <w:t xml:space="preserve">Obligatorio por radiacion UV en altitud</w:t>
            </w:r>
          </w:p>
        </w:tc>
      </w:tr>
    </w:tbl>
    <w:p>
      <w:pPr>
        <w:pStyle w:val="Heading1"/>
        <w:spacing w:before="360" w:after="200"/>
      </w:pPr>
      <w:r>
        <w:rPr>
          <w:rFonts w:ascii="Calibri" w:cs="Calibri" w:eastAsia="Calibri" w:hAnsi="Calibri"/>
          <w:b/>
          <w:bCs/>
          <w:color w:val="1a6b4e"/>
          <w:sz w:val="28"/>
          <w:szCs w:val="28"/>
        </w:rPr>
        <w:t xml:space="preserve">6. Comunicaciones de Emergencia</w:t>
      </w:r>
    </w:p>
    <w:p>
      <w:pPr>
        <w:spacing w:after="120" w:before="0" w:line="276"/>
        <w:jc w:val="both"/>
      </w:pPr>
      <w:r>
        <w:rPr>
          <w:rFonts w:ascii="Calibri" w:cs="Calibri" w:eastAsia="Calibri" w:hAnsi="Calibri"/>
          <w:b w:val="false"/>
          <w:bCs w:val="false"/>
          <w:i w:val="false"/>
          <w:iCs w:val="false"/>
          <w:color w:val="1E293B"/>
          <w:sz w:val="20"/>
          <w:szCs w:val="20"/>
        </w:rPr>
        <w:t xml:space="preserve">Cada vehiculo y equipo pesado de Tours Panasur en el proyecto estara equipado con radio de comunicacion operativa. Se establecera canal de comunicacion directa con: Centro de Control del cliente, Ing. de Seguridad del proyecto (Tours Panasur), Enfermeria/Centro medico del proyecto, Gerencia Tours Panasur (Arequipa). En caso de emergencia se activa el Plan de Emergencias TP-PLA-SST-002.</w:t>
      </w:r>
    </w:p>
    <w:p>
      <w:pPr>
        <w:pStyle w:val="Heading1"/>
        <w:spacing w:before="360" w:after="200"/>
      </w:pPr>
      <w:r>
        <w:rPr>
          <w:rFonts w:ascii="Calibri" w:cs="Calibri" w:eastAsia="Calibri" w:hAnsi="Calibri"/>
          <w:b/>
          <w:bCs/>
          <w:color w:val="1a6b4e"/>
          <w:sz w:val="28"/>
          <w:szCs w:val="28"/>
        </w:rPr>
        <w:t xml:space="preserve">7. Registros del Proyecto</w:t>
      </w:r>
    </w:p>
    <w:p>
      <w:pPr>
        <w:spacing w:after="120" w:before="0" w:line="276"/>
        <w:jc w:val="both"/>
      </w:pPr>
      <w:r>
        <w:rPr>
          <w:rFonts w:ascii="Calibri" w:cs="Calibri" w:eastAsia="Calibri" w:hAnsi="Calibri"/>
          <w:b w:val="false"/>
          <w:bCs w:val="false"/>
          <w:i w:val="false"/>
          <w:iCs w:val="false"/>
          <w:color w:val="1E293B"/>
          <w:sz w:val="20"/>
          <w:szCs w:val="20"/>
        </w:rPr>
        <w:t xml:space="preserve">Durante la ejecucion del proyecto se generaran los siguientes registros: ATS diario (TP-FOR-SST-005), Check-list pre-uso diario (TP-FOR-SST-001), PETAR cuando aplique (TP-FOR-SST-004), Reportes de incidentes/condiciones inseguras (TP-FOR-SST-002), Registro de charlas de 5 minutos, Registro de asistencia a capacitaciones, Informe mensual SST al cliente.</w:t>
      </w:r>
    </w:p>
    <w:p>
      <w:r>
        <w:br w:type="page"/>
      </w:r>
    </w:p>
    <w:p>
      <w:pPr>
        <w:pStyle w:val="Heading1"/>
        <w:spacing w:before="360" w:after="200"/>
      </w:pPr>
      <w:r>
        <w:rPr>
          <w:rFonts w:ascii="Calibri" w:cs="Calibri" w:eastAsia="Calibri" w:hAnsi="Calibri"/>
          <w:b/>
          <w:bCs/>
          <w:color w:val="1a6b4e"/>
          <w:sz w:val="28"/>
          <w:szCs w:val="28"/>
        </w:rPr>
        <w:t xml:space="preserve">Firmas de Aprobacion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center"/>
            </w:pPr>
            <w:r>
              <w:rPr>
                <w:rFonts w:ascii="Calibri" w:cs="Calibri" w:eastAsia="Calibri" w:hAnsi="Calibri"/>
                <w:b/>
                <w:bCs/>
                <w:color w:val="FFFFFF"/>
                <w:sz w:val="17"/>
                <w:szCs w:val="17"/>
              </w:rPr>
              <w:t xml:space="preserve">Elaborado por</w:t>
            </w:r>
          </w:p>
        </w:tc>
        <w:tc>
          <w:tcPr>
            <w:tcW w:type="dxa" w:w="3009"/>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center"/>
            </w:pPr>
            <w:r>
              <w:rPr>
                <w:rFonts w:ascii="Calibri" w:cs="Calibri" w:eastAsia="Calibri" w:hAnsi="Calibri"/>
                <w:b/>
                <w:bCs/>
                <w:color w:val="FFFFFF"/>
                <w:sz w:val="17"/>
                <w:szCs w:val="17"/>
              </w:rPr>
              <w:t xml:space="preserve">Revisado por</w:t>
            </w:r>
          </w:p>
        </w:tc>
        <w:tc>
          <w:tcPr>
            <w:tcW w:type="dxa" w:w="3009"/>
            <w:tcBorders>
              <w:top w:val="single" w:color="C1D9CE" w:sz="1"/>
              <w:left w:val="single" w:color="C1D9CE" w:sz="1"/>
              <w:bottom w:val="single" w:color="C1D9CE" w:sz="1"/>
              <w:right w:val="single" w:color="C1D9CE" w:sz="1"/>
            </w:tcBorders>
            <w:shd w:fill="1a6b4e" w:val="clear"/>
            <w:tcMar>
              <w:top w:type="dxa" w:w="50"/>
              <w:left w:type="dxa" w:w="80"/>
              <w:bottom w:type="dxa" w:w="50"/>
              <w:right w:type="dxa" w:w="80"/>
            </w:tcMar>
          </w:tcPr>
          <w:p>
            <w:pPr>
              <w:spacing w:after="0"/>
              <w:jc w:val="center"/>
            </w:pPr>
            <w:r>
              <w:rPr>
                <w:rFonts w:ascii="Calibri" w:cs="Calibri" w:eastAsia="Calibri" w:hAnsi="Calibri"/>
                <w:b/>
                <w:bCs/>
                <w:color w:val="FFFFFF"/>
                <w:sz w:val="17"/>
                <w:szCs w:val="17"/>
              </w:rPr>
              <w:t xml:space="preserve">Aprobado por</w:t>
            </w:r>
          </w:p>
        </w:tc>
      </w:tr>
      <w:tr>
        <w:tc>
          <w:tcPr>
            <w:tcW w:type="dxa" w:w="3008"/>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center"/>
            </w:pPr>
            <w:r>
              <w:rPr>
                <w:rFonts w:ascii="Calibri" w:cs="Calibri" w:eastAsia="Calibri" w:hAnsi="Calibri"/>
                <w:b w:val="false"/>
                <w:bCs w:val="false"/>
                <w:color w:val="1E293B"/>
                <w:sz w:val="17"/>
                <w:szCs w:val="17"/>
              </w:rPr>
              <w:t xml:space="preserve">INNOVAQ SOLUTIONS
Consultor SIG</w:t>
            </w:r>
          </w:p>
        </w:tc>
        <w:tc>
          <w:tcPr>
            <w:tcW w:type="dxa" w:w="3009"/>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center"/>
            </w:pPr>
            <w:r>
              <w:rPr>
                <w:rFonts w:ascii="Calibri" w:cs="Calibri" w:eastAsia="Calibri" w:hAnsi="Calibri"/>
                <w:b w:val="false"/>
                <w:bCs w:val="false"/>
                <w:color w:val="1E293B"/>
                <w:sz w:val="17"/>
                <w:szCs w:val="17"/>
              </w:rPr>
              <w:t xml:space="preserve">Giancarlo Huamani C.
Ing. SST</w:t>
            </w:r>
          </w:p>
        </w:tc>
        <w:tc>
          <w:tcPr>
            <w:tcW w:type="dxa" w:w="3009"/>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center"/>
            </w:pPr>
            <w:r>
              <w:rPr>
                <w:rFonts w:ascii="Calibri" w:cs="Calibri" w:eastAsia="Calibri" w:hAnsi="Calibri"/>
                <w:b w:val="false"/>
                <w:bCs w:val="false"/>
                <w:color w:val="1E293B"/>
                <w:sz w:val="17"/>
                <w:szCs w:val="17"/>
              </w:rPr>
              <w:t xml:space="preserve">Timoteo Huamani
Gerente General</w:t>
            </w:r>
          </w:p>
        </w:tc>
      </w:tr>
      <w:tr>
        <w:tc>
          <w:tcPr>
            <w:tcW w:type="dxa" w:w="3008"/>
            <w:tcBorders>
              <w:top w:val="single" w:color="C1D9CE" w:sz="1"/>
              <w:left w:val="single" w:color="C1D9CE" w:sz="1"/>
              <w:bottom w:val="single" w:color="C1D9CE" w:sz="1"/>
              <w:right w:val="single" w:color="C1D9CE" w:sz="1"/>
            </w:tcBorders>
            <w:tcMar>
              <w:top w:type="dxa" w:w="50"/>
              <w:left w:type="dxa" w:w="80"/>
              <w:bottom w:type="dxa" w:w="50"/>
              <w:right w:type="dxa" w:w="80"/>
            </w:tcMar>
          </w:tcPr>
          <w:p>
            <w:pPr>
              <w:spacing w:after="0"/>
              <w:jc w:val="center"/>
            </w:pPr>
            <w:r>
              <w:rPr>
                <w:rFonts w:ascii="Calibri" w:cs="Calibri" w:eastAsia="Calibri" w:hAnsi="Calibri"/>
                <w:b w:val="false"/>
                <w:bCs w:val="false"/>
                <w:color w:val="1E293B"/>
                <w:sz w:val="17"/>
                <w:szCs w:val="17"/>
              </w:rPr>
              <w:t xml:space="preserve">Firma: ______________</w:t>
            </w:r>
          </w:p>
        </w:tc>
        <w:tc>
          <w:tcPr>
            <w:tcW w:type="dxa" w:w="3009"/>
            <w:tcBorders>
              <w:top w:val="single" w:color="C1D9CE" w:sz="1"/>
              <w:left w:val="single" w:color="C1D9CE" w:sz="1"/>
              <w:bottom w:val="single" w:color="C1D9CE" w:sz="1"/>
              <w:right w:val="single" w:color="C1D9CE" w:sz="1"/>
            </w:tcBorders>
            <w:tcMar>
              <w:top w:type="dxa" w:w="50"/>
              <w:left w:type="dxa" w:w="80"/>
              <w:bottom w:type="dxa" w:w="50"/>
              <w:right w:type="dxa" w:w="80"/>
            </w:tcMar>
          </w:tcPr>
          <w:p>
            <w:pPr>
              <w:spacing w:after="0"/>
              <w:jc w:val="center"/>
            </w:pPr>
            <w:r>
              <w:rPr>
                <w:rFonts w:ascii="Calibri" w:cs="Calibri" w:eastAsia="Calibri" w:hAnsi="Calibri"/>
                <w:b w:val="false"/>
                <w:bCs w:val="false"/>
                <w:color w:val="1E293B"/>
                <w:sz w:val="17"/>
                <w:szCs w:val="17"/>
              </w:rPr>
              <w:t xml:space="preserve">Firma: ______________</w:t>
            </w:r>
          </w:p>
        </w:tc>
        <w:tc>
          <w:tcPr>
            <w:tcW w:type="dxa" w:w="3009"/>
            <w:tcBorders>
              <w:top w:val="single" w:color="C1D9CE" w:sz="1"/>
              <w:left w:val="single" w:color="C1D9CE" w:sz="1"/>
              <w:bottom w:val="single" w:color="C1D9CE" w:sz="1"/>
              <w:right w:val="single" w:color="C1D9CE" w:sz="1"/>
            </w:tcBorders>
            <w:tcMar>
              <w:top w:type="dxa" w:w="50"/>
              <w:left w:type="dxa" w:w="80"/>
              <w:bottom w:type="dxa" w:w="50"/>
              <w:right w:type="dxa" w:w="80"/>
            </w:tcMar>
          </w:tcPr>
          <w:p>
            <w:pPr>
              <w:spacing w:after="0"/>
              <w:jc w:val="center"/>
            </w:pPr>
            <w:r>
              <w:rPr>
                <w:rFonts w:ascii="Calibri" w:cs="Calibri" w:eastAsia="Calibri" w:hAnsi="Calibri"/>
                <w:b w:val="false"/>
                <w:bCs w:val="false"/>
                <w:color w:val="1E293B"/>
                <w:sz w:val="17"/>
                <w:szCs w:val="17"/>
              </w:rPr>
              <w:t xml:space="preserve">Firma: ______________</w:t>
            </w:r>
          </w:p>
        </w:tc>
      </w:tr>
    </w:tbl>
    <w:sectPr>
      <w:headerReference w:type="default" r:id="rId6"/>
      <w:footerReference w:type="default" r:id="rId7"/>
      <w:pgSz w:w="11906" w:h="16838" w:orient="portrait"/>
      <w:pgMar w:top="1200" w:right="14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1D9CE" w:sz="1" w:space="4"/>
      </w:pBdr>
      <w:tabs>
        <w:tab w:val="right" w:pos="9026"/>
      </w:tabs>
      <w:spacing w:after="0"/>
    </w:pPr>
    <w:r>
      <w:rPr>
        <w:rFonts w:ascii="Calibri" w:cs="Calibri" w:eastAsia="Calibri" w:hAnsi="Calibri"/>
        <w:color w:val="64748B"/>
        <w:sz w:val="12"/>
        <w:szCs w:val="12"/>
      </w:rPr>
      <w:t xml:space="preserve">Confidencial — Tours Panasur E.I.R.L.</w:t>
    </w:r>
    <w:r>
      <w:t xml:space="preserve">	Pag </w:t>
    </w:r>
    <w:r>
      <w:rPr>
        <w:rFonts w:ascii="Calibri" w:cs="Calibri" w:eastAsia="Calibri" w:hAnsi="Calibri"/>
        <w:color w:val="64748B"/>
        <w:sz w:val="12"/>
        <w:szCs w:val="12"/>
      </w:rPr>
      <w:fldChar w:fldCharType="begin"/>
      <w:instrText xml:space="preserve">PAGE</w:instrText>
      <w:fldChar w:fldCharType="separate"/>
      <w:fldChar w:fldCharType="end"/>
    </w:r>
    <w:r>
      <w:rPr>
        <w:rFonts w:ascii="Calibri" w:cs="Calibri" w:eastAsia="Calibri" w:hAnsi="Calibri"/>
        <w:color w:val="64748B"/>
        <w:sz w:val="12"/>
        <w:szCs w:val="12"/>
      </w:rPr>
      <w:t xml:space="preserve"> / </w:t>
    </w:r>
    <w:r>
      <w:rPr>
        <w:rFonts w:ascii="Calibri" w:cs="Calibri" w:eastAsia="Calibri" w:hAnsi="Calibri"/>
        <w:color w:val="64748B"/>
        <w:sz w:val="12"/>
        <w:szCs w:val="1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4e" w:sz="2" w:space="4"/>
      </w:pBdr>
      <w:tabs>
        <w:tab w:val="right" w:pos="9026"/>
      </w:tabs>
      <w:spacing w:after="0"/>
    </w:pPr>
    <w:r>
      <w:rPr>
        <w:rFonts w:ascii="Calibri" w:cs="Calibri" w:eastAsia="Calibri" w:hAnsi="Calibri"/>
        <w:b/>
        <w:bCs/>
        <w:color w:val="1a6b4e"/>
        <w:sz w:val="14"/>
        <w:szCs w:val="14"/>
      </w:rPr>
      <w:t xml:space="preserve">TOURS PANASUR E.I.R.L.</w:t>
    </w:r>
    <w:r>
      <w:rPr>
        <w:rFonts w:ascii="Calibri" w:cs="Calibri" w:eastAsia="Calibri" w:hAnsi="Calibri"/>
        <w:color w:val="64748B"/>
        <w:sz w:val="12"/>
        <w:szCs w:val="12"/>
      </w:rPr>
      <w:t xml:space="preserve">	TP-PLA-SST-003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a6b4e"/>
      <w:sz w:val="28"/>
      <w:szCs w:val="28"/>
    </w:rPr>
  </w:style>
  <w:style w:type="paragraph" w:styleId="Heading2">
    <w:name w:val="Heading 2"/>
    <w:basedOn w:val="Normal"/>
    <w:next w:val="Normal"/>
    <w:qFormat/>
    <w:pPr>
      <w:spacing w:before="240" w:after="140"/>
      <w:outlineLvl w:val="1"/>
    </w:pPr>
    <w:rPr>
      <w:rFonts w:ascii="Calibri" w:cs="Calibri" w:eastAsia="Calibri" w:hAnsi="Calibri"/>
      <w:b/>
      <w:bCs/>
      <w:color w:val="1a6b4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2026-03-08T11:07:56.481Z</dcterms:created>
  <dcterms:modified xsi:type="dcterms:W3CDTF">2026-03-08T11:07:56.481Z</dcterms:modified>
</cp:coreProperties>
</file>

<file path=docProps/custom.xml><?xml version="1.0" encoding="utf-8"?>
<Properties xmlns="http://schemas.openxmlformats.org/officeDocument/2006/custom-properties" xmlns:vt="http://schemas.openxmlformats.org/officeDocument/2006/docPropsVTypes"/>
</file>