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TOURS PANASUR E.I.R.L.</w:t>
      </w:r>
    </w:p>
    <w:p>
      <w:pPr>
        <w:jc w:val="center"/>
      </w:pPr>
      <w:r>
        <w:rPr>
          <w:rFonts w:ascii="Calibri" w:hAnsi="Calibri"/>
          <w:b/>
          <w:color w:val="1A6B4E"/>
          <w:sz w:val="24"/>
        </w:rPr>
        <w:t>SISTEMA INTEGRADO DE GESTIÓN</w:t>
      </w:r>
    </w:p>
    <w:p>
      <w:pPr>
        <w:jc w:val="center"/>
      </w:pPr>
      <w:r>
        <w:rPr>
          <w:rFonts w:ascii="Calibri" w:hAnsi="Calibri"/>
          <w:b/>
          <w:sz w:val="32"/>
        </w:rPr>
        <w:t>Análisis Bow-Tie</w:t>
        <w:br/>
        <w:t>Exposición a Materiales Peligrosos (MATPEL)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Código: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TP-BT-SST-003</w:t>
            </w:r>
          </w:p>
        </w:tc>
        <w:tc>
          <w:tcPr>
            <w:tcW w:type="dxa" w:w="2493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493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Área: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SST</w:t>
            </w:r>
          </w:p>
        </w:tc>
        <w:tc>
          <w:tcPr>
            <w:tcW w:type="dxa" w:w="2493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2026-04-03</w:t>
            </w:r>
          </w:p>
        </w:tc>
      </w:tr>
      <w:tr>
        <w:tc>
          <w:tcPr>
            <w:tcW w:type="dxa" w:w="2493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Elaborado: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INNOVAQ SOLUTIONS</w:t>
            </w:r>
          </w:p>
        </w:tc>
        <w:tc>
          <w:tcPr>
            <w:tcW w:type="dxa" w:w="2493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Revisado: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Supervisor SST</w:t>
            </w:r>
          </w:p>
        </w:tc>
      </w:tr>
      <w:tr>
        <w:tc>
          <w:tcPr>
            <w:tcW w:type="dxa" w:w="2493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Aprobado: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Gerente General</w:t>
            </w:r>
          </w:p>
        </w:tc>
        <w:tc>
          <w:tcPr>
            <w:tcW w:type="dxa" w:w="2493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Páginas: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 de 5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1. Objetivo</w:t>
      </w:r>
    </w:p>
    <w:p>
      <w:r>
        <w:rPr>
          <w:rFonts w:ascii="Calibri" w:hAnsi="Calibri"/>
          <w:sz w:val="22"/>
        </w:rPr>
        <w:t>Identificar y analizar mediante la metodología Bow-Tie las amenazas, barreras preventivas, consecuencias y barreras de recuperación asociadas al evento principal, con el fin de gestionar eficazmente los riesgos en las operaciones del proyecto CSF Hanaqpampa.</w:t>
      </w:r>
    </w:p>
    <w:p>
      <w:pPr>
        <w:pStyle w:val="Heading2"/>
      </w:pPr>
      <w:r>
        <w:rPr>
          <w:rFonts w:ascii="Calibri" w:hAnsi="Calibri"/>
        </w:rPr>
        <w:t>2. Alcance</w:t>
      </w:r>
    </w:p>
    <w:p>
      <w:r>
        <w:rPr>
          <w:rFonts w:ascii="Calibri" w:hAnsi="Calibri"/>
          <w:sz w:val="22"/>
        </w:rPr>
        <w:t>Este análisis aplica a todas las actividades relacionadas con el proyecto Central Solar Fotovoltaica Hanaqpampa, ubicado en Moquegua, Perú, ejecutado por Tours Panasur E.I.R.L. como contratista de ENGIE Energía Perú S.A.</w:t>
      </w:r>
    </w:p>
    <w:p>
      <w:pPr>
        <w:pStyle w:val="Heading2"/>
      </w:pPr>
      <w:r>
        <w:rPr>
          <w:rFonts w:ascii="Calibri" w:hAnsi="Calibri"/>
        </w:rPr>
        <w:t>3. Metodología Bow-Tie</w:t>
      </w:r>
    </w:p>
    <w:p>
      <w:r>
        <w:rPr>
          <w:rFonts w:ascii="Calibri" w:hAnsi="Calibri"/>
          <w:sz w:val="22"/>
        </w:rPr>
        <w:t>La metodología Bow-Tie es una herramienta de gestión de riesgos que permite visualizar de forma gráfica la relación entre las causas (amenazas), el evento principal (Top Event), las consecuencias y las barreras de control. El diagrama tiene forma de corbata de moño (Bow-Tie) donde el nudo central representa el evento no deseado.</w:t>
      </w:r>
    </w:p>
    <w:p>
      <w:r>
        <w:rPr>
          <w:rFonts w:ascii="Calibri" w:hAnsi="Calibri"/>
          <w:sz w:val="20"/>
        </w:rPr>
        <w:t>• Lado izquierdo: Amenazas y Barreras Preventivas (evitan que ocurra el evento)</w:t>
        <w:br/>
        <w:t>• Centro: Evento Principal (Top Event) — punto de pérdida de control</w:t>
        <w:br/>
        <w:t>• Lado derecho: Consecuencias y Barreras de Recuperación (mitigan el impacto)</w:t>
        <w:br/>
        <w:t>• Factores de escalamiento: condiciones que pueden degradar las barreras</w:t>
      </w:r>
    </w:p>
    <w:p>
      <w:pPr>
        <w:pStyle w:val="Heading2"/>
      </w:pPr>
      <w:r>
        <w:rPr>
          <w:rFonts w:ascii="Calibri" w:hAnsi="Calibri"/>
        </w:rPr>
        <w:t>4. Análisis Bow-Tie — Exposición a Materiales Peligrosos (MATPEL)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A6B4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PELIGRO (Hazard)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Manipulación y transporte de sustancias químicas (combustibles, solventes, ácidos de baterías)</w:t>
            </w:r>
          </w:p>
        </w:tc>
      </w:tr>
      <w:tr>
        <w:tc>
          <w:tcPr>
            <w:tcW w:type="dxa" w:w="3402"/>
            <w:shd w:fill="1A6B4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EVENTO PRINCIPAL (Top Event)</w:t>
            </w:r>
          </w:p>
        </w:tc>
        <w:tc>
          <w:tcPr>
            <w:tcW w:type="dxa" w:w="6803"/>
            <w:shd w:fill="FFEBEE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Contacto/inhalación de sustancia peligrosa</w:t>
            </w:r>
          </w:p>
        </w:tc>
      </w:tr>
      <w:tr>
        <w:tc>
          <w:tcPr>
            <w:tcW w:type="dxa" w:w="3402"/>
            <w:shd w:fill="1A6B4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PROYECTO / UBICACIÓN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CSF Hanaqpampa — Moquegua, Perú (Cliente: ENGIE)</w:t>
            </w:r>
          </w:p>
        </w:tc>
      </w:tr>
    </w:tbl>
    <w:p/>
    <w:p>
      <w:r>
        <w:rPr>
          <w:b/>
        </w:rPr>
        <w:t>LADO IZQUIERDO — AMENAZAS Y BARRERAS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4535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AMENAZA (Threat)</w:t>
            </w:r>
          </w:p>
        </w:tc>
        <w:tc>
          <w:tcPr>
            <w:tcW w:type="dxa" w:w="4819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BARRERA PREVENTIVA (Prevention)</w:t>
            </w:r>
          </w:p>
        </w:tc>
      </w:tr>
      <w:tr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535"/>
            <w:shd w:fill="FFF3E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Envase deteriorado, corroído o con fisuras no detectadas</w:t>
            </w:r>
          </w:p>
        </w:tc>
        <w:tc>
          <w:tcPr>
            <w:tcW w:type="dxa" w:w="4819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Hojas de Datos de Seguridad (HDS/SDS) disponibles en punto de uso</w:t>
            </w:r>
          </w:p>
        </w:tc>
      </w:tr>
      <w:tr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35"/>
            <w:shd w:fill="FFF3E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Falta de etiquetado SGA/GHS o etiqueta ilegible</w:t>
            </w:r>
          </w:p>
        </w:tc>
        <w:tc>
          <w:tcPr>
            <w:tcW w:type="dxa" w:w="4819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EPP especializado: respirador con filtro químico, guantes de nitrilo, traje Tyvek</w:t>
            </w:r>
          </w:p>
        </w:tc>
      </w:tr>
      <w:tr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535"/>
            <w:shd w:fill="FFF3E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Manipulación sin EPP adecuado (respirador, guantes químicos)</w:t>
            </w:r>
          </w:p>
        </w:tc>
        <w:tc>
          <w:tcPr>
            <w:tcW w:type="dxa" w:w="4819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Capacitación MATPEL Nivel I para todo el personal expuesto (8 horas)</w:t>
            </w:r>
          </w:p>
        </w:tc>
      </w:tr>
      <w:tr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35"/>
            <w:shd w:fill="FFF3E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Almacenamiento inadecuado sin contención secundaria</w:t>
            </w:r>
          </w:p>
        </w:tc>
        <w:tc>
          <w:tcPr>
            <w:tcW w:type="dxa" w:w="4819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Almacén construido según DS 043-2007-EM con ventilación y contención</w:t>
            </w:r>
          </w:p>
        </w:tc>
      </w:tr>
      <w:tr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535"/>
            <w:shd w:fill="FFF3E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Mezcla de sustancias químicamente incompatibles</w:t>
            </w:r>
          </w:p>
        </w:tc>
        <w:tc>
          <w:tcPr>
            <w:tcW w:type="dxa" w:w="4819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Matriz de compatibilidad química verificada antes de almacenamiento conjunto</w:t>
            </w:r>
          </w:p>
        </w:tc>
      </w:tr>
      <w:tr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535"/>
            <w:shd w:fill="FFF3E0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Derrame durante transporte por mala sujeción de envases</w:t>
            </w:r>
          </w:p>
        </w:tc>
        <w:tc>
          <w:tcPr>
            <w:tcW w:type="dxa" w:w="4819"/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Kit antiderrame en cada vehículo de transporte de materiales peligrosos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C62828"/>
          <w:sz w:val="26"/>
        </w:rPr>
        <w:t>▶▶▶  EVENTO PRINCIPAL: Contacto/inhalación de sustancia peligrosa  ◀◀◀</w:t>
      </w:r>
    </w:p>
    <w:p/>
    <w:p>
      <w:r>
        <w:rPr>
          <w:b/>
        </w:rPr>
        <w:t>LADO DERECHO — CONSECUENCIAS Y BARRERAS DE RECUPERACIÓN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4535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CONSECUENCIA (Consequence)</w:t>
            </w:r>
          </w:p>
        </w:tc>
        <w:tc>
          <w:tcPr>
            <w:tcW w:type="dxa" w:w="4819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BARRERA DE RECUPERACIÓN (Recovery)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535"/>
            <w:shd w:fill="FFEBEE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Intoxicación aguda con compromiso respiratorio o neurológico</w:t>
            </w:r>
          </w:p>
        </w:tc>
        <w:tc>
          <w:tcPr>
            <w:tcW w:type="dxa" w:w="4819"/>
            <w:shd w:fill="E3F2FD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Ducha de emergencia y lavaojos instalados en zona de almacenamiento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35"/>
            <w:shd w:fill="FFEBEE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Quemaduras químicas en piel, ojos o vías respiratorias</w:t>
            </w:r>
          </w:p>
        </w:tc>
        <w:tc>
          <w:tcPr>
            <w:tcW w:type="dxa" w:w="4819"/>
            <w:shd w:fill="E3F2FD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Protocolo de descontaminación de personal (paso a paso documentado)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535"/>
            <w:shd w:fill="FFEBEE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Contaminación de suelo y/o cuerpos de agua cercanos</w:t>
            </w:r>
          </w:p>
        </w:tc>
        <w:tc>
          <w:tcPr>
            <w:tcW w:type="dxa" w:w="4819"/>
            <w:shd w:fill="E3F2FD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Atención médica inmediata por paramédico con antídotos disponibles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35"/>
            <w:shd w:fill="FFEBEE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Multa ambiental de OEFA y remediación obligatoria</w:t>
            </w:r>
          </w:p>
        </w:tc>
        <w:tc>
          <w:tcPr>
            <w:tcW w:type="dxa" w:w="4819"/>
            <w:shd w:fill="E3F2FD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Plan de remediación ambiental según TP-PRO-AMB-003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535"/>
            <w:shd w:fill="FFEBEE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Enfermedad ocupacional crónica (dermatitis, daño hepático/renal)</w:t>
            </w:r>
          </w:p>
        </w:tc>
        <w:tc>
          <w:tcPr>
            <w:tcW w:type="dxa" w:w="4819"/>
            <w:shd w:fill="E3F2FD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Notificación inmediata a OEFA y autoridad competente (&lt; 24 horas)</w:t>
            </w:r>
          </w:p>
        </w:tc>
      </w:tr>
    </w:tbl>
    <w:p/>
    <w:p>
      <w:r>
        <w:rPr>
          <w:b/>
        </w:rPr>
        <w:t>FACTORES DE ESCALAMIENTO (Escalation Factors)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4535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FACTOR DE ESCALAMIENTO</w:t>
            </w:r>
          </w:p>
        </w:tc>
        <w:tc>
          <w:tcPr>
            <w:tcW w:type="dxa" w:w="4819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DE ESCALAMIENTO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535"/>
            <w:shd w:fill="FFFDE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HDS no disponible o en idioma no comprendido por el trabajador</w:t>
            </w:r>
          </w:p>
        </w:tc>
        <w:tc>
          <w:tcPr>
            <w:tcW w:type="dxa" w:w="4819"/>
            <w:shd w:fill="F3E5F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HDS traducidas al español y resumidas en fichas de campo simplificadas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35"/>
            <w:shd w:fill="FFFDE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EPP inadecuado para el químico específico manipulado</w:t>
            </w:r>
          </w:p>
        </w:tc>
        <w:tc>
          <w:tcPr>
            <w:tcW w:type="dxa" w:w="4819"/>
            <w:shd w:fill="F3E5F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Matriz de selección de EPP por sustancia química actualizada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535"/>
            <w:shd w:fill="FFFDE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Almacén sin ventilación por diseño deficiente</w:t>
            </w:r>
          </w:p>
        </w:tc>
        <w:tc>
          <w:tcPr>
            <w:tcW w:type="dxa" w:w="4819"/>
            <w:shd w:fill="F3E5F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Medición de gases con detector multigas antes de ingreso al almacén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35"/>
            <w:shd w:fill="FFFDE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Personal sin capacitación MATPEL asignado a tareas con químicos</w:t>
            </w:r>
          </w:p>
        </w:tc>
        <w:tc>
          <w:tcPr>
            <w:tcW w:type="dxa" w:w="4819"/>
            <w:shd w:fill="F3E5F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Verificación de certificado MATPEL vigente antes de autorización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535"/>
            <w:shd w:fill="FFFDE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Kit antiderrame agotado o incompleto</w:t>
            </w:r>
          </w:p>
        </w:tc>
        <w:tc>
          <w:tcPr>
            <w:tcW w:type="dxa" w:w="4819"/>
            <w:shd w:fill="F3E5F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Inspección semanal de kits con check-list y reposición inmediata</w:t>
            </w:r>
          </w:p>
        </w:tc>
      </w:tr>
    </w:tbl>
    <w:p>
      <w:pPr>
        <w:pStyle w:val="Heading2"/>
      </w:pPr>
      <w:r>
        <w:rPr>
          <w:rFonts w:ascii="Calibri" w:hAnsi="Calibri"/>
        </w:rPr>
        <w:t>5.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4986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Gerente General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Asegurar recursos para la implementación de barreras de control.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Supervisor SST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Verificar la implementación y eficacia de las barreras preventivas y de recuperación.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Trabajadores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Cumplir con los procedimientos establecidos y reportar condiciones subestándar.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INNOVAQ SOLUTIONS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Asesorar en la identificación de riesgos y diseño de barreras de control.</w:t>
            </w:r>
          </w:p>
        </w:tc>
      </w:tr>
    </w:tbl>
    <w:p>
      <w:pPr>
        <w:pStyle w:val="Heading2"/>
      </w:pPr>
      <w:r>
        <w:rPr>
          <w:rFonts w:ascii="Calibri" w:hAnsi="Calibri"/>
        </w:rPr>
        <w:t>6. Referencias Normativas</w:t>
      </w:r>
    </w:p>
    <w:p>
      <w:r>
        <w:rPr>
          <w:rFonts w:ascii="Calibri" w:hAnsi="Calibri"/>
          <w:sz w:val="20"/>
        </w:rPr>
        <w:t>• Ley 29783 — Ley de Seguridad y Salud en el Trabajo</w:t>
      </w:r>
    </w:p>
    <w:p>
      <w:r>
        <w:rPr>
          <w:rFonts w:ascii="Calibri" w:hAnsi="Calibri"/>
          <w:sz w:val="20"/>
        </w:rPr>
        <w:t>• DS 005-2012-TR — Reglamento de la Ley 29783</w:t>
      </w:r>
    </w:p>
    <w:p>
      <w:r>
        <w:rPr>
          <w:rFonts w:ascii="Calibri" w:hAnsi="Calibri"/>
          <w:sz w:val="20"/>
        </w:rPr>
        <w:t>• ISO 45001:2018 — Sistemas de Gestión de Seguridad y Salud en el Trabajo</w:t>
      </w:r>
    </w:p>
    <w:p>
      <w:r>
        <w:rPr>
          <w:rFonts w:ascii="Calibri" w:hAnsi="Calibri"/>
          <w:sz w:val="20"/>
        </w:rPr>
        <w:t>• ISO 14001:2015 — Sistemas de Gestión Ambiental</w:t>
      </w:r>
    </w:p>
    <w:p>
      <w:r>
        <w:rPr>
          <w:rFonts w:ascii="Calibri" w:hAnsi="Calibri"/>
          <w:sz w:val="20"/>
        </w:rPr>
        <w:t>• RM 050-2013-TR — Formatos referenciales de SST</w:t>
      </w:r>
    </w:p>
    <w:p>
      <w:r>
        <w:rPr>
          <w:rFonts w:ascii="Calibri" w:hAnsi="Calibri"/>
          <w:sz w:val="20"/>
        </w:rPr>
        <w:t>• Estándares ENGIE — Requisitos de seguridad para contratistas</w:t>
      </w:r>
    </w:p>
    <w:p>
      <w:pPr>
        <w:pStyle w:val="Heading2"/>
      </w:pPr>
      <w:r>
        <w:rPr>
          <w:rFonts w:ascii="Calibri" w:hAnsi="Calibri"/>
        </w:rPr>
        <w:t>7. Control de Cambios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493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93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493"/>
            <w:shd w:fill="1A6B4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2026-04-03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Emisión inicial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INNOVAQ SOLUTIONS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