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 — ANÁLISIS BOW-TIE</w:t>
      </w:r>
    </w:p>
    <w:p>
      <w:pPr>
        <w:jc w:val="center"/>
      </w:pPr>
      <w:r>
        <w:rPr>
          <w:b/>
          <w:sz w:val="30"/>
        </w:rPr>
        <w:t>Análisis Bow-Tie: Volcadura de Vehículo de Transporte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TP-BT-SST-001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Proyecto:</w:t>
            </w:r>
          </w:p>
        </w:tc>
        <w:tc>
          <w:tcPr>
            <w:tcW w:type="dxa" w:w="2160"/>
          </w:tcPr>
          <w:p>
            <w:r>
              <w:t>CSF Hanaqpampa</w:t>
            </w:r>
          </w:p>
        </w:tc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ENGIE Energía Perú</w:t>
            </w:r>
          </w:p>
        </w:tc>
      </w:tr>
    </w:tbl>
    <w:p/>
    <w:p>
      <w:pPr>
        <w:pStyle w:val="Heading2"/>
      </w:pPr>
      <w:r>
        <w:t>1. PELIGRO (Hazard)</w:t>
      </w:r>
    </w:p>
    <w:p>
      <w:r>
        <w:t>Transporte de carga pesada por vías rurales de montaña hacia CSF Hanaqpampa</w:t>
      </w:r>
    </w:p>
    <w:p>
      <w:pPr>
        <w:pStyle w:val="Heading2"/>
      </w:pPr>
      <w:r>
        <w:t>2. EVENTO TOPE (Top Event)</w:t>
      </w:r>
    </w:p>
    <w:p>
      <w:r>
        <w:rPr>
          <w:b/>
          <w:color w:val="DC2626"/>
          <w:sz w:val="26"/>
        </w:rPr>
        <w:t>VOLCADURA DEL VEHÍCULO (volquete/cisterna/cargador frontal)</w:t>
      </w:r>
    </w:p>
    <w:p>
      <w:pPr>
        <w:pStyle w:val="Heading2"/>
      </w:pPr>
      <w:r>
        <w:t>3. AMENAZAS (Threats) — Lado Izquierdo</w:t>
      </w:r>
    </w:p>
    <w:p>
      <w:pPr>
        <w:pStyle w:val="ListBullet"/>
      </w:pPr>
      <w:r>
        <w:t>Exceso de velocidad en curvas y pendientes</w:t>
      </w:r>
    </w:p>
    <w:p>
      <w:pPr>
        <w:pStyle w:val="ListBullet"/>
      </w:pPr>
      <w:r>
        <w:t>Fatiga y somnolencia del conductor (jornadas extendidas)</w:t>
      </w:r>
    </w:p>
    <w:p>
      <w:pPr>
        <w:pStyle w:val="ListBullet"/>
      </w:pPr>
      <w:r>
        <w:t>Falla mecánica: frenos, dirección, neumáticos</w:t>
      </w:r>
    </w:p>
    <w:p>
      <w:pPr>
        <w:pStyle w:val="ListBullet"/>
      </w:pPr>
      <w:r>
        <w:t>Vía en mal estado: baches, deslizamientos, tramos sin señalizar</w:t>
      </w:r>
    </w:p>
    <w:p>
      <w:pPr>
        <w:pStyle w:val="ListBullet"/>
      </w:pPr>
      <w:r>
        <w:t>Sobrecarga del vehículo o carga mal asegurada</w:t>
      </w:r>
    </w:p>
    <w:p>
      <w:pPr>
        <w:pStyle w:val="ListBullet"/>
      </w:pPr>
      <w:r>
        <w:t>Condiciones climáticas adversas: neblina, lluvia, viento lateral</w:t>
      </w:r>
    </w:p>
    <w:p>
      <w:pPr>
        <w:pStyle w:val="Heading2"/>
      </w:pPr>
      <w:r>
        <w:t>4. BARRERAS PREVENTIVAS (Prevention)</w:t>
      </w:r>
    </w:p>
    <w:p>
      <w:r>
        <w:t>Controles que previenen que las amenazas causen el evento tope:</w:t>
      </w:r>
    </w:p>
    <w:p>
      <w:pPr>
        <w:pStyle w:val="ListBullet"/>
      </w:pPr>
      <w:r>
        <w:t>✓ Control de velocidad GPS con alertas en tiempo real</w:t>
      </w:r>
    </w:p>
    <w:p>
      <w:pPr>
        <w:pStyle w:val="ListBullet"/>
      </w:pPr>
      <w:r>
        <w:t>✓ Programa de gestión de fatiga y somnolencia (TP-PRO-SST-004)</w:t>
      </w:r>
    </w:p>
    <w:p>
      <w:pPr>
        <w:pStyle w:val="ListBullet"/>
      </w:pPr>
      <w:r>
        <w:t>✓ Mantenimiento preventivo de flota (TP-PRO-MAN-001)</w:t>
      </w:r>
    </w:p>
    <w:p>
      <w:pPr>
        <w:pStyle w:val="ListBullet"/>
      </w:pPr>
      <w:r>
        <w:t>✓ Inspección pre-operacional diaria (Check-list vehicular)</w:t>
      </w:r>
    </w:p>
    <w:p>
      <w:pPr>
        <w:pStyle w:val="ListBullet"/>
      </w:pPr>
      <w:r>
        <w:t>✓ Control de carga: pesaje y amarre certificado</w:t>
      </w:r>
    </w:p>
    <w:p>
      <w:pPr>
        <w:pStyle w:val="ListBullet"/>
      </w:pPr>
      <w:r>
        <w:t>✓ Consulta de pronóstico meteorológico antes de salida</w:t>
      </w:r>
    </w:p>
    <w:p>
      <w:pPr>
        <w:pStyle w:val="Heading2"/>
      </w:pPr>
      <w:r>
        <w:t>5. CONSECUENCIAS (Consequences) — Lado Derecho</w:t>
      </w:r>
    </w:p>
    <w:p>
      <w:pPr>
        <w:pStyle w:val="ListBullet"/>
      </w:pPr>
      <w:r>
        <w:t>Muerte del conductor y/o ocupantes</w:t>
      </w:r>
    </w:p>
    <w:p>
      <w:pPr>
        <w:pStyle w:val="ListBullet"/>
      </w:pPr>
      <w:r>
        <w:t>Lesiones graves a terceros en la vía</w:t>
      </w:r>
    </w:p>
    <w:p>
      <w:pPr>
        <w:pStyle w:val="ListBullet"/>
      </w:pPr>
      <w:r>
        <w:t>Derrame de combustible o carga peligrosa</w:t>
      </w:r>
    </w:p>
    <w:p>
      <w:pPr>
        <w:pStyle w:val="ListBullet"/>
      </w:pPr>
      <w:r>
        <w:t>Contaminación ambiental de suelo y agua</w:t>
      </w:r>
    </w:p>
    <w:p>
      <w:pPr>
        <w:pStyle w:val="ListBullet"/>
      </w:pPr>
      <w:r>
        <w:t>Paralización del proyecto CSF Hanaqpampa</w:t>
      </w:r>
    </w:p>
    <w:p>
      <w:pPr>
        <w:pStyle w:val="ListBullet"/>
      </w:pPr>
      <w:r>
        <w:t>Sanciones de OSINERGMIN / SUTRAN / SUNAFIL</w:t>
      </w:r>
    </w:p>
    <w:p>
      <w:pPr>
        <w:pStyle w:val="ListBullet"/>
      </w:pPr>
      <w:r>
        <w:t>Pérdida de homologación ENGIE</w:t>
      </w:r>
    </w:p>
    <w:p>
      <w:pPr>
        <w:pStyle w:val="Heading2"/>
      </w:pPr>
      <w:r>
        <w:t>6. BARRERAS DE RECUPERACIÓN (Mitigation)</w:t>
      </w:r>
    </w:p>
    <w:p>
      <w:r>
        <w:t>Controles que mitigan las consecuencias después del evento tope:</w:t>
      </w:r>
    </w:p>
    <w:p>
      <w:pPr>
        <w:pStyle w:val="ListBullet"/>
      </w:pPr>
      <w:r>
        <w:t>✓ Plan de emergencias activado (TP-PLA-SST-002)</w:t>
      </w:r>
    </w:p>
    <w:p>
      <w:pPr>
        <w:pStyle w:val="ListBullet"/>
      </w:pPr>
      <w:r>
        <w:t>✓ Kit de contención de derrames en cada unidad</w:t>
      </w:r>
    </w:p>
    <w:p>
      <w:pPr>
        <w:pStyle w:val="ListBullet"/>
      </w:pPr>
      <w:r>
        <w:t>✓ Brigada de emergencia con tiempo de respuesta &lt; 30 min</w:t>
      </w:r>
    </w:p>
    <w:p>
      <w:pPr>
        <w:pStyle w:val="ListBullet"/>
      </w:pPr>
      <w:r>
        <w:t>✓ Seguro SCTR activo para todo el personal</w:t>
      </w:r>
    </w:p>
    <w:p>
      <w:pPr>
        <w:pStyle w:val="ListBullet"/>
      </w:pPr>
      <w:r>
        <w:t>✓ Protocolo de notificación a ENGIE en &lt; 2 horas</w:t>
      </w:r>
    </w:p>
    <w:p>
      <w:pPr>
        <w:pStyle w:val="ListBullet"/>
      </w:pPr>
      <w:r>
        <w:t>✓ Investigación ICAM dentro de 48 horas</w:t>
      </w:r>
    </w:p>
    <w:p>
      <w:pPr>
        <w:pStyle w:val="Heading2"/>
      </w:pPr>
      <w:r>
        <w:t>7. FACTORES DE ESCALAMIENTO</w:t>
      </w:r>
    </w:p>
    <w:p>
      <w:r>
        <w:t>Factores que pueden degradar la efectividad de las barreras:</w:t>
      </w:r>
    </w:p>
    <w:p>
      <w:pPr>
        <w:pStyle w:val="ListBullet"/>
      </w:pPr>
      <w:r>
        <w:t>⚠ Conductor no capacitado en manejo defensivo</w:t>
      </w:r>
    </w:p>
    <w:p>
      <w:pPr>
        <w:pStyle w:val="ListBullet"/>
      </w:pPr>
      <w:r>
        <w:t>⚠ Falta de supervisión en ruta</w:t>
      </w:r>
    </w:p>
    <w:p>
      <w:pPr>
        <w:pStyle w:val="ListBullet"/>
      </w:pPr>
      <w:r>
        <w:t>⚠ Ruta alternativa no evaluada previamente</w:t>
      </w:r>
    </w:p>
    <w:p>
      <w:pPr>
        <w:pStyle w:val="ListBullet"/>
      </w:pPr>
      <w:r>
        <w:t>⚠ Kit de emergencia incompleto o vencido</w:t>
      </w:r>
    </w:p>
    <w:p>
      <w:pPr>
        <w:pStyle w:val="Heading2"/>
      </w:pPr>
      <w:r>
        <w:t>8. DIAGRAMA BOW-TIE</w:t>
      </w:r>
    </w:p>
    <w:p>
      <w:r>
        <w:t>AMENAZAS → [BARRERAS PREVENTIVAS] → EVENTO TOPE → [BARRERAS DE RECUPERACIÓN] → CONSECUENCIAS</w:t>
        <w:br/>
        <w:br/>
        <w:t>Ver diagrama visual en la plataforma SIG 360° → Módulo Bow-Tie → TP-BT-SST-001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 | Proyecto CSF Hanaqpampa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