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TOURS PANASUR E.I.R.L.</w:t>
      </w:r>
    </w:p>
    <w:p>
      <w:pPr>
        <w:jc w:val="center"/>
      </w:pPr>
      <w:r>
        <w:rPr>
          <w:b/>
          <w:color w:val="1A6B4E"/>
          <w:sz w:val="24"/>
        </w:rPr>
        <w:t>SISTEMA INTEGRADO DE GESTIÓN — ANÁLISIS BOW-TIE</w:t>
      </w:r>
    </w:p>
    <w:p>
      <w:pPr>
        <w:jc w:val="center"/>
      </w:pPr>
      <w:r>
        <w:rPr>
          <w:b/>
          <w:sz w:val="30"/>
        </w:rPr>
        <w:t>Análisis Bow-Tie: Exposición a Materiales Peligrosos (MATPEL)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Código:</w:t>
            </w:r>
          </w:p>
        </w:tc>
        <w:tc>
          <w:tcPr>
            <w:tcW w:type="dxa" w:w="2160"/>
          </w:tcPr>
          <w:p>
            <w:r>
              <w:t>TP-BT-SST-003</w:t>
            </w:r>
          </w:p>
        </w:tc>
        <w:tc>
          <w:tcPr>
            <w:tcW w:type="dxa" w:w="2160"/>
          </w:tcPr>
          <w:p>
            <w:r>
              <w:t>Versión: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Área:</w:t>
            </w:r>
          </w:p>
        </w:tc>
        <w:tc>
          <w:tcPr>
            <w:tcW w:type="dxa" w:w="2160"/>
          </w:tcPr>
          <w:p>
            <w:r>
              <w:t>SST</w:t>
            </w:r>
          </w:p>
        </w:tc>
        <w:tc>
          <w:tcPr>
            <w:tcW w:type="dxa" w:w="2160"/>
          </w:tcPr>
          <w:p>
            <w:r>
              <w:t>Fecha:</w:t>
            </w:r>
          </w:p>
        </w:tc>
        <w:tc>
          <w:tcPr>
            <w:tcW w:type="dxa" w:w="2160"/>
          </w:tcPr>
          <w:p>
            <w:r>
              <w:t>2026-04-03</w:t>
            </w:r>
          </w:p>
        </w:tc>
      </w:tr>
      <w:tr>
        <w:tc>
          <w:tcPr>
            <w:tcW w:type="dxa" w:w="2160"/>
          </w:tcPr>
          <w:p>
            <w:r>
              <w:t>Proyecto:</w:t>
            </w:r>
          </w:p>
        </w:tc>
        <w:tc>
          <w:tcPr>
            <w:tcW w:type="dxa" w:w="2160"/>
          </w:tcPr>
          <w:p>
            <w:r>
              <w:t>CSF Hanaqpampa</w:t>
            </w:r>
          </w:p>
        </w:tc>
        <w:tc>
          <w:tcPr>
            <w:tcW w:type="dxa" w:w="2160"/>
          </w:tcPr>
          <w:p>
            <w:r>
              <w:t>Cliente:</w:t>
            </w:r>
          </w:p>
        </w:tc>
        <w:tc>
          <w:tcPr>
            <w:tcW w:type="dxa" w:w="2160"/>
          </w:tcPr>
          <w:p>
            <w:r>
              <w:t>ENGIE Energía Perú</w:t>
            </w:r>
          </w:p>
        </w:tc>
      </w:tr>
    </w:tbl>
    <w:p/>
    <w:p>
      <w:pPr>
        <w:pStyle w:val="Heading2"/>
      </w:pPr>
      <w:r>
        <w:t>1. PELIGRO (Hazard)</w:t>
      </w:r>
    </w:p>
    <w:p>
      <w:r>
        <w:t>Manipulación y transporte de sustancias químicas (combustibles, solventes, ácidos de baterías solares)</w:t>
      </w:r>
    </w:p>
    <w:p>
      <w:pPr>
        <w:pStyle w:val="Heading2"/>
      </w:pPr>
      <w:r>
        <w:t>2. EVENTO TOPE (Top Event)</w:t>
      </w:r>
    </w:p>
    <w:p>
      <w:r>
        <w:rPr>
          <w:b/>
          <w:color w:val="DC2626"/>
          <w:sz w:val="26"/>
        </w:rPr>
        <w:t>CONTACTO, INHALACIÓN O INGESTIÓN DE SUSTANCIA PELIGROSA</w:t>
      </w:r>
    </w:p>
    <w:p>
      <w:pPr>
        <w:pStyle w:val="Heading2"/>
      </w:pPr>
      <w:r>
        <w:t>3. AMENAZAS (Threats) — Lado Izquierdo</w:t>
      </w:r>
    </w:p>
    <w:p>
      <w:pPr>
        <w:pStyle w:val="ListBullet"/>
      </w:pPr>
      <w:r>
        <w:t>Envase deteriorado o con fugas</w:t>
      </w:r>
    </w:p>
    <w:p>
      <w:pPr>
        <w:pStyle w:val="ListBullet"/>
      </w:pPr>
      <w:r>
        <w:t>Falta de etiquetado SGA/GHS o etiqueta ilegible</w:t>
      </w:r>
    </w:p>
    <w:p>
      <w:pPr>
        <w:pStyle w:val="ListBullet"/>
      </w:pPr>
      <w:r>
        <w:t>Manipulación sin EPP especializado</w:t>
      </w:r>
    </w:p>
    <w:p>
      <w:pPr>
        <w:pStyle w:val="ListBullet"/>
      </w:pPr>
      <w:r>
        <w:t>Almacenamiento inadecuado (incompatibilidad química)</w:t>
      </w:r>
    </w:p>
    <w:p>
      <w:pPr>
        <w:pStyle w:val="ListBullet"/>
      </w:pPr>
      <w:r>
        <w:t>Mezcla accidental de sustancias incompatibles</w:t>
      </w:r>
    </w:p>
    <w:p>
      <w:pPr>
        <w:pStyle w:val="ListBullet"/>
      </w:pPr>
      <w:r>
        <w:t>Derrame durante transporte o trasvase</w:t>
      </w:r>
    </w:p>
    <w:p>
      <w:pPr>
        <w:pStyle w:val="Heading2"/>
      </w:pPr>
      <w:r>
        <w:t>4. BARRERAS PREVENTIVAS (Prevention)</w:t>
      </w:r>
    </w:p>
    <w:p>
      <w:r>
        <w:t>Controles que previenen que las amenazas causen el evento tope:</w:t>
      </w:r>
    </w:p>
    <w:p>
      <w:pPr>
        <w:pStyle w:val="ListBullet"/>
      </w:pPr>
      <w:r>
        <w:t>✓ Hojas de Datos de Seguridad (HDS) disponibles en punto de uso</w:t>
      </w:r>
    </w:p>
    <w:p>
      <w:pPr>
        <w:pStyle w:val="ListBullet"/>
      </w:pPr>
      <w:r>
        <w:t>✓ EPP especializado: respirador, guantes de nitrilo, traje Tyvek, gafas</w:t>
      </w:r>
    </w:p>
    <w:p>
      <w:pPr>
        <w:pStyle w:val="ListBullet"/>
      </w:pPr>
      <w:r>
        <w:t>✓ Capacitación MATPEL Nivel I para todo el personal operativo</w:t>
      </w:r>
    </w:p>
    <w:p>
      <w:pPr>
        <w:pStyle w:val="ListBullet"/>
      </w:pPr>
      <w:r>
        <w:t>✓ Almacén según DS 043-2007-EM con matriz de incompatibilidad</w:t>
      </w:r>
    </w:p>
    <w:p>
      <w:pPr>
        <w:pStyle w:val="ListBullet"/>
      </w:pPr>
      <w:r>
        <w:t>✓ Verificación de compatibilidad química antes de almacenar</w:t>
      </w:r>
    </w:p>
    <w:p>
      <w:pPr>
        <w:pStyle w:val="ListBullet"/>
      </w:pPr>
      <w:r>
        <w:t>✓ Kit antiderrame de 50 galones en cada unidad de transporte</w:t>
      </w:r>
    </w:p>
    <w:p>
      <w:pPr>
        <w:pStyle w:val="Heading2"/>
      </w:pPr>
      <w:r>
        <w:t>5. CONSECUENCIAS (Consequences) — Lado Derecho</w:t>
      </w:r>
    </w:p>
    <w:p>
      <w:pPr>
        <w:pStyle w:val="ListBullet"/>
      </w:pPr>
      <w:r>
        <w:t>Intoxicación aguda por inhalación de vapores</w:t>
      </w:r>
    </w:p>
    <w:p>
      <w:pPr>
        <w:pStyle w:val="ListBullet"/>
      </w:pPr>
      <w:r>
        <w:t>Quemaduras químicas en piel y ojos</w:t>
      </w:r>
    </w:p>
    <w:p>
      <w:pPr>
        <w:pStyle w:val="ListBullet"/>
      </w:pPr>
      <w:r>
        <w:t>Contaminación de suelo y aguas subterráneas</w:t>
      </w:r>
    </w:p>
    <w:p>
      <w:pPr>
        <w:pStyle w:val="ListBullet"/>
      </w:pPr>
      <w:r>
        <w:t>Multa ambiental de OEFA (hasta 10,000 UIT)</w:t>
      </w:r>
    </w:p>
    <w:p>
      <w:pPr>
        <w:pStyle w:val="ListBullet"/>
      </w:pPr>
      <w:r>
        <w:t>Enfermedad ocupacional crónica (exposición prolongada)</w:t>
      </w:r>
    </w:p>
    <w:p>
      <w:pPr>
        <w:pStyle w:val="ListBullet"/>
      </w:pPr>
      <w:r>
        <w:t>Paralización ambiental del proyecto</w:t>
      </w:r>
    </w:p>
    <w:p>
      <w:pPr>
        <w:pStyle w:val="Heading2"/>
      </w:pPr>
      <w:r>
        <w:t>6. BARRERAS DE RECUPERACIÓN (Mitigation)</w:t>
      </w:r>
    </w:p>
    <w:p>
      <w:r>
        <w:t>Controles que mitigan las consecuencias después del evento tope:</w:t>
      </w:r>
    </w:p>
    <w:p>
      <w:pPr>
        <w:pStyle w:val="ListBullet"/>
      </w:pPr>
      <w:r>
        <w:t>✓ Ducha de emergencia y lavaojos en obra (&lt; 10 segundos)</w:t>
      </w:r>
    </w:p>
    <w:p>
      <w:pPr>
        <w:pStyle w:val="ListBullet"/>
      </w:pPr>
      <w:r>
        <w:t>✓ Protocolo de descontaminación de primera respuesta</w:t>
      </w:r>
    </w:p>
    <w:p>
      <w:pPr>
        <w:pStyle w:val="ListBullet"/>
      </w:pPr>
      <w:r>
        <w:t>✓ Atención médica inmediata por paramédico de turno</w:t>
      </w:r>
    </w:p>
    <w:p>
      <w:pPr>
        <w:pStyle w:val="ListBullet"/>
      </w:pPr>
      <w:r>
        <w:t>✓ Plan de remediación ambiental (TP-PRO-AMB-003)</w:t>
      </w:r>
    </w:p>
    <w:p>
      <w:pPr>
        <w:pStyle w:val="ListBullet"/>
      </w:pPr>
      <w:r>
        <w:t>✓ Monitoreo post-incidente de suelo y agua</w:t>
      </w:r>
    </w:p>
    <w:p>
      <w:pPr>
        <w:pStyle w:val="ListBullet"/>
      </w:pPr>
      <w:r>
        <w:t>✓ Notificación OEFA dentro de 24 horas</w:t>
      </w:r>
    </w:p>
    <w:p>
      <w:pPr>
        <w:pStyle w:val="Heading2"/>
      </w:pPr>
      <w:r>
        <w:t>7. FACTORES DE ESCALAMIENTO</w:t>
      </w:r>
    </w:p>
    <w:p>
      <w:r>
        <w:t>Factores que pueden degradar la efectividad de las barreras:</w:t>
      </w:r>
    </w:p>
    <w:p>
      <w:pPr>
        <w:pStyle w:val="ListBullet"/>
      </w:pPr>
      <w:r>
        <w:t>⚠ HDS no disponible en idioma español</w:t>
      </w:r>
    </w:p>
    <w:p>
      <w:pPr>
        <w:pStyle w:val="ListBullet"/>
      </w:pPr>
      <w:r>
        <w:t>⚠ Personal sin capacitación MATPEL actualizada</w:t>
      </w:r>
    </w:p>
    <w:p>
      <w:pPr>
        <w:pStyle w:val="ListBullet"/>
      </w:pPr>
      <w:r>
        <w:t>⚠ Kit antiderrame no revisado periódicamente</w:t>
      </w:r>
    </w:p>
    <w:p>
      <w:pPr>
        <w:pStyle w:val="ListBullet"/>
      </w:pPr>
      <w:r>
        <w:t>⚠ Ausencia de inventario actualizado de sustancias químicas</w:t>
      </w:r>
    </w:p>
    <w:p>
      <w:pPr>
        <w:pStyle w:val="Heading2"/>
      </w:pPr>
      <w:r>
        <w:t>8. DIAGRAMA BOW-TIE</w:t>
      </w:r>
    </w:p>
    <w:p>
      <w:r>
        <w:t>AMENAZAS → [BARRERAS PREVENTIVAS] → EVENTO TOPE → [BARRERAS DE RECUPERACIÓN] → CONSECUENCIAS</w:t>
        <w:br/>
        <w:br/>
        <w:t>Ver diagrama visual en la plataforma SIG 360° → Módulo Bow-Tie → TP-BT-SST-003</w:t>
      </w:r>
    </w:p>
    <w:p/>
    <w:p>
      <w:pPr>
        <w:jc w:val="center"/>
      </w:pPr>
      <w:r>
        <w:rPr>
          <w:i/>
          <w:color w:val="94A3B8"/>
          <w:sz w:val="16"/>
        </w:rPr>
        <w:t>Documento controlado — SIG 360° Tours Panasur E.I.R.L. | Proyecto CSF Hanaqpampa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