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after="120" w:before="0" w:line="300"/>
        <w:jc w:val="center"/>
      </w:pPr>
      <w:r>
        <w:rPr>
          <w:rFonts w:ascii="Calibri" w:cs="Calibri" w:eastAsia="Calibri" w:hAnsi="Calibri"/>
          <w:b/>
          <w:bCs/>
          <w:i w:val="false"/>
          <w:iCs w:val="false"/>
          <w:color w:val="64748B"/>
          <w:sz w:val="18"/>
          <w:szCs w:val="18"/>
        </w:rPr>
        <w:t xml:space="preserve">INNOVAQ SOLUTIONS SAC</w:t>
      </w:r>
    </w:p>
    <w:p>
      <w:pPr>
        <w:spacing w:after="300" w:before="0" w:line="300"/>
        <w:jc w:val="center"/>
      </w:pPr>
      <w:r>
        <w:rPr>
          <w:rFonts w:ascii="Calibri" w:cs="Calibri" w:eastAsia="Calibri" w:hAnsi="Calibri"/>
          <w:b w:val="false"/>
          <w:bCs w:val="false"/>
          <w:i/>
          <w:iCs/>
          <w:color w:val="64748B"/>
          <w:sz w:val="16"/>
          <w:szCs w:val="16"/>
        </w:rPr>
        <w:t xml:space="preserve">Soluciones Tecnologicas para la Gestion Integrada</w:t>
      </w:r>
    </w:p>
    <w:p>
      <w:pPr>
        <w:spacing w:before="200" w:after="0"/>
      </w:pPr>
    </w:p>
    <w:p>
      <w:pPr>
        <w:spacing w:after="120" w:before="0" w:line="300"/>
        <w:jc w:val="center"/>
      </w:pPr>
      <w:r>
        <w:rPr>
          <w:rFonts w:ascii="Calibri" w:cs="Calibri" w:eastAsia="Calibri" w:hAnsi="Calibri"/>
          <w:b/>
          <w:bCs/>
          <w:i w:val="false"/>
          <w:iCs w:val="false"/>
          <w:color w:val="D4A843"/>
          <w:sz w:val="20"/>
          <w:szCs w:val="20"/>
        </w:rPr>
        <w:t xml:space="preserve">CASO DE EXITO</w:t>
      </w:r>
    </w:p>
    <w:p>
      <w:pPr>
        <w:spacing w:before="40" w:after="0"/>
      </w:pPr>
    </w:p>
    <w:p>
      <w:pPr>
        <w:spacing w:after="120" w:before="0" w:line="300"/>
        <w:jc w:val="center"/>
      </w:pPr>
      <w:r>
        <w:rPr>
          <w:rFonts w:ascii="Calibri" w:cs="Calibri" w:eastAsia="Calibri" w:hAnsi="Calibri"/>
          <w:b/>
          <w:bCs/>
          <w:i w:val="false"/>
          <w:iCs w:val="false"/>
          <w:color w:val="0E6B3A"/>
          <w:sz w:val="40"/>
          <w:szCs w:val="40"/>
        </w:rPr>
        <w:t xml:space="preserve">SIG 360° Enterprise</w:t>
      </w:r>
    </w:p>
    <w:p>
      <w:pPr>
        <w:spacing w:after="200" w:before="0" w:line="300"/>
        <w:jc w:val="center"/>
      </w:pPr>
      <w:r>
        <w:rPr>
          <w:rFonts w:ascii="Calibri" w:cs="Calibri" w:eastAsia="Calibri" w:hAnsi="Calibri"/>
          <w:b w:val="false"/>
          <w:bCs w:val="false"/>
          <w:i w:val="false"/>
          <w:iCs w:val="false"/>
          <w:color w:val="64748B"/>
          <w:sz w:val="20"/>
          <w:szCs w:val="20"/>
        </w:rPr>
        <w:t xml:space="preserve">Sistema Integrado de Gestion ISO 9001 + 14001 + 45001</w:t>
      </w:r>
    </w:p>
    <w:p>
      <w:pPr>
        <w:spacing w:before="80" w:after="0"/>
      </w:pPr>
    </w:p>
    <w:p>
      <w:pPr>
        <w:spacing w:after="120" w:before="0" w:line="300"/>
        <w:jc w:val="center"/>
      </w:pPr>
      <w:r>
        <w:rPr>
          <w:rFonts w:ascii="Calibri" w:cs="Calibri" w:eastAsia="Calibri" w:hAnsi="Calibri"/>
          <w:b/>
          <w:bCs/>
          <w:i w:val="false"/>
          <w:iCs w:val="false"/>
          <w:color w:val="1a6b4e"/>
          <w:sz w:val="26"/>
          <w:szCs w:val="26"/>
        </w:rPr>
        <w:t xml:space="preserve">Implementacion en TOURS PANASUR E.I.R.L.</w:t>
      </w:r>
    </w:p>
    <w:p>
      <w:pPr>
        <w:spacing w:after="120" w:before="0" w:line="300"/>
        <w:jc w:val="center"/>
      </w:pPr>
      <w:r>
        <w:rPr>
          <w:rFonts w:ascii="Calibri" w:cs="Calibri" w:eastAsia="Calibri" w:hAnsi="Calibri"/>
          <w:b w:val="false"/>
          <w:bCs w:val="false"/>
          <w:i w:val="false"/>
          <w:iCs w:val="false"/>
          <w:color w:val="64748B"/>
          <w:sz w:val="18"/>
          <w:szCs w:val="18"/>
        </w:rPr>
        <w:t xml:space="preserve">Sector: Transporte de Carga y Obras de Ingenieria — Arequipa, Peru</w:t>
      </w:r>
    </w:p>
    <w:p>
      <w:pPr>
        <w:spacing w:before="500" w:after="0"/>
      </w:pPr>
    </w:p>
    <w:p>
      <w:pPr>
        <w:spacing w:after="120" w:before="0" w:line="300"/>
        <w:jc w:val="center"/>
      </w:pPr>
      <w:r>
        <w:rPr>
          <w:rFonts w:ascii="Calibri" w:cs="Calibri" w:eastAsia="Calibri" w:hAnsi="Calibri"/>
          <w:b w:val="false"/>
          <w:bCs w:val="false"/>
          <w:i w:val="false"/>
          <w:iCs w:val="false"/>
          <w:color w:val="64748B"/>
          <w:sz w:val="18"/>
          <w:szCs w:val="18"/>
        </w:rPr>
        <w:t xml:space="preserve">Marzo 2026</w:t>
      </w:r>
    </w:p>
    <w:p>
      <w:pPr>
        <w:spacing w:after="120" w:before="0" w:line="300"/>
        <w:jc w:val="center"/>
      </w:pPr>
      <w:r>
        <w:rPr>
          <w:rFonts w:ascii="Calibri" w:cs="Calibri" w:eastAsia="Calibri" w:hAnsi="Calibri"/>
          <w:b w:val="false"/>
          <w:bCs w:val="false"/>
          <w:i w:val="false"/>
          <w:iCs w:val="false"/>
          <w:color w:val="64748B"/>
          <w:sz w:val="16"/>
          <w:szCs w:val="16"/>
        </w:rPr>
        <w:t xml:space="preserve">contacto@innovaqsolution.com | www.innovaqsolution.com | +51 938 430 657</w:t>
      </w:r>
    </w:p>
    <w:p>
      <w:r>
        <w:br w:type="page"/>
      </w:r>
    </w:p>
    <w:p>
      <w:pPr>
        <w:pStyle w:val="Heading1"/>
        <w:spacing w:before="400" w:after="200"/>
      </w:pPr>
      <w:r>
        <w:rPr>
          <w:rFonts w:ascii="Calibri" w:cs="Calibri" w:eastAsia="Calibri" w:hAnsi="Calibri"/>
          <w:b/>
          <w:bCs/>
          <w:color w:val="0E6B3A"/>
          <w:sz w:val="30"/>
          <w:szCs w:val="30"/>
        </w:rPr>
        <w:t xml:space="preserve">Resumen Ejecutivo</w:t>
      </w:r>
    </w:p>
    <w:p>
      <w:pPr>
        <w:spacing w:after="120" w:before="0" w:line="300"/>
        <w:jc w:val="both"/>
      </w:pPr>
      <w:r>
        <w:rPr>
          <w:rFonts w:ascii="Calibri" w:cs="Calibri" w:eastAsia="Calibri" w:hAnsi="Calibri"/>
          <w:b w:val="false"/>
          <w:bCs w:val="false"/>
          <w:i w:val="false"/>
          <w:iCs w:val="false"/>
          <w:color w:val="1E293B"/>
          <w:sz w:val="21"/>
          <w:szCs w:val="21"/>
        </w:rPr>
        <w:t xml:space="preserve">Tours Panasur E.I.R.L. es una empresa arequipena de transporte de carga por carretera y obras de ingenieria que opera para clientes del sector minero como Cia. Minera Buenaventura (Proyecto San Gabriel), SMCV (Cerro Verde), Engie, AMBIPAR y UNICON. Con 20 trabajadores y una flota de equipos pesados operando a altitudes de 4,500-5,000 msnm, enfrentaba un desafio critico: estructurar su Sistema Integrado de Gestion para cumplir con las homologaciones de sus clientes corporativos.</w:t>
      </w:r>
    </w:p>
    <w:p>
      <w:pPr>
        <w:spacing w:before="40" w:after="0"/>
      </w:pPr>
    </w:p>
    <w:p>
      <w:pPr>
        <w:spacing w:after="120" w:before="0" w:line="300"/>
        <w:jc w:val="both"/>
      </w:pPr>
      <w:r>
        <w:rPr>
          <w:rFonts w:ascii="Calibri" w:cs="Calibri" w:eastAsia="Calibri" w:hAnsi="Calibri"/>
          <w:b w:val="false"/>
          <w:bCs w:val="false"/>
          <w:i w:val="false"/>
          <w:iCs w:val="false"/>
          <w:color w:val="1E293B"/>
          <w:sz w:val="21"/>
          <w:szCs w:val="21"/>
        </w:rPr>
        <w:t xml:space="preserve">INNOVAQ SOLUTIONS implemento SIG 360° Enterprise en 9 semanas, transformando una documentacion fragmentada e informal (48% de cumplimiento) en un sistema completo de 78 documentos codificados, una plataforma digital con 30 modulos y un paquete de homologacion HSEQ listo para presentar a Engie Energia Peru.</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none"/>
              <w:left w:val="none"/>
              <w:bottom w:val="none"/>
              <w:right w:val="single" w:color="C1D9CE" w:sz="1"/>
            </w:tcBorders>
            <w:tcMar>
              <w:top w:type="dxa" w:w="60"/>
              <w:left w:type="dxa" w:w="100"/>
              <w:bottom w:type="dxa" w:w="60"/>
              <w:right w:type="dxa" w:w="100"/>
            </w:tcMar>
          </w:tcPr>
          <w:p>
            <w:pPr>
              <w:spacing w:after="0"/>
              <w:jc w:val="center"/>
            </w:pPr>
            <w:r>
              <w:rPr>
                <w:rFonts w:ascii="Calibri" w:cs="Calibri" w:eastAsia="Calibri" w:hAnsi="Calibri"/>
                <w:b/>
                <w:bCs/>
                <w:color w:val="0E6B3A"/>
                <w:sz w:val="44"/>
                <w:szCs w:val="44"/>
              </w:rPr>
              <w:t xml:space="preserve">78</w:t>
            </w:r>
          </w:p>
          <w:p>
            <w:pPr>
              <w:spacing w:after="40"/>
              <w:jc w:val="center"/>
            </w:pPr>
            <w:r>
              <w:rPr>
                <w:rFonts w:ascii="Calibri" w:cs="Calibri" w:eastAsia="Calibri" w:hAnsi="Calibri"/>
                <w:color w:val="64748B"/>
                <w:sz w:val="16"/>
                <w:szCs w:val="16"/>
              </w:rPr>
              <w:t xml:space="preserve">Documentos del SIG</w:t>
            </w:r>
          </w:p>
        </w:tc>
        <w:tc>
          <w:tcPr>
            <w:tcW w:type="dxa" w:w="2257"/>
            <w:tcBorders>
              <w:top w:val="none"/>
              <w:left w:val="none"/>
              <w:bottom w:val="none"/>
              <w:right w:val="single" w:color="C1D9CE" w:sz="1"/>
            </w:tcBorders>
            <w:tcMar>
              <w:top w:type="dxa" w:w="60"/>
              <w:left w:type="dxa" w:w="100"/>
              <w:bottom w:type="dxa" w:w="60"/>
              <w:right w:type="dxa" w:w="100"/>
            </w:tcMar>
          </w:tcPr>
          <w:p>
            <w:pPr>
              <w:spacing w:after="0"/>
              <w:jc w:val="center"/>
            </w:pPr>
            <w:r>
              <w:rPr>
                <w:rFonts w:ascii="Calibri" w:cs="Calibri" w:eastAsia="Calibri" w:hAnsi="Calibri"/>
                <w:b/>
                <w:bCs/>
                <w:color w:val="0E6B3A"/>
                <w:sz w:val="44"/>
                <w:szCs w:val="44"/>
              </w:rPr>
              <w:t xml:space="preserve">30</w:t>
            </w:r>
          </w:p>
          <w:p>
            <w:pPr>
              <w:spacing w:after="40"/>
              <w:jc w:val="center"/>
            </w:pPr>
            <w:r>
              <w:rPr>
                <w:rFonts w:ascii="Calibri" w:cs="Calibri" w:eastAsia="Calibri" w:hAnsi="Calibri"/>
                <w:color w:val="64748B"/>
                <w:sz w:val="16"/>
                <w:szCs w:val="16"/>
              </w:rPr>
              <w:t xml:space="preserve">Modulos de plataforma</w:t>
            </w:r>
          </w:p>
        </w:tc>
        <w:tc>
          <w:tcPr>
            <w:tcW w:type="dxa" w:w="2257"/>
            <w:tcBorders>
              <w:top w:val="none"/>
              <w:left w:val="none"/>
              <w:bottom w:val="none"/>
              <w:right w:val="single" w:color="C1D9CE" w:sz="1"/>
            </w:tcBorders>
            <w:tcMar>
              <w:top w:type="dxa" w:w="60"/>
              <w:left w:type="dxa" w:w="100"/>
              <w:bottom w:type="dxa" w:w="60"/>
              <w:right w:type="dxa" w:w="100"/>
            </w:tcMar>
          </w:tcPr>
          <w:p>
            <w:pPr>
              <w:spacing w:after="0"/>
              <w:jc w:val="center"/>
            </w:pPr>
            <w:r>
              <w:rPr>
                <w:rFonts w:ascii="Calibri" w:cs="Calibri" w:eastAsia="Calibri" w:hAnsi="Calibri"/>
                <w:b/>
                <w:bCs/>
                <w:color w:val="0E6B3A"/>
                <w:sz w:val="44"/>
                <w:szCs w:val="44"/>
              </w:rPr>
              <w:t xml:space="preserve">9</w:t>
            </w:r>
          </w:p>
          <w:p>
            <w:pPr>
              <w:spacing w:after="40"/>
              <w:jc w:val="center"/>
            </w:pPr>
            <w:r>
              <w:rPr>
                <w:rFonts w:ascii="Calibri" w:cs="Calibri" w:eastAsia="Calibri" w:hAnsi="Calibri"/>
                <w:color w:val="64748B"/>
                <w:sz w:val="16"/>
                <w:szCs w:val="16"/>
              </w:rPr>
              <w:t xml:space="preserve">Semanas de implementacion</w:t>
            </w:r>
          </w:p>
        </w:tc>
        <w:tc>
          <w:tcPr>
            <w:tcW w:type="dxa" w:w="2256"/>
            <w:tcBorders>
              <w:top w:val="none"/>
              <w:left w:val="none"/>
              <w:bottom w:val="none"/>
              <w:right w:val="none"/>
            </w:tcBorders>
            <w:tcMar>
              <w:top w:type="dxa" w:w="60"/>
              <w:left w:type="dxa" w:w="100"/>
              <w:bottom w:type="dxa" w:w="60"/>
              <w:right w:type="dxa" w:w="100"/>
            </w:tcMar>
          </w:tcPr>
          <w:p>
            <w:pPr>
              <w:spacing w:after="0"/>
              <w:jc w:val="center"/>
            </w:pPr>
            <w:r>
              <w:rPr>
                <w:rFonts w:ascii="Calibri" w:cs="Calibri" w:eastAsia="Calibri" w:hAnsi="Calibri"/>
                <w:b/>
                <w:bCs/>
                <w:color w:val="047857"/>
                <w:sz w:val="44"/>
                <w:szCs w:val="44"/>
              </w:rPr>
              <w:t xml:space="preserve">48%→100%</w:t>
            </w:r>
          </w:p>
          <w:p>
            <w:pPr>
              <w:spacing w:after="40"/>
              <w:jc w:val="center"/>
            </w:pPr>
            <w:r>
              <w:rPr>
                <w:rFonts w:ascii="Calibri" w:cs="Calibri" w:eastAsia="Calibri" w:hAnsi="Calibri"/>
                <w:color w:val="64748B"/>
                <w:sz w:val="16"/>
                <w:szCs w:val="16"/>
              </w:rPr>
              <w:t xml:space="preserve">Cumplimiento ISO</w:t>
            </w:r>
          </w:p>
        </w:tc>
      </w:tr>
    </w:tbl>
    <w:p>
      <w:r>
        <w:br w:type="page"/>
      </w:r>
    </w:p>
    <w:p>
      <w:pPr>
        <w:pStyle w:val="Heading1"/>
        <w:spacing w:before="400" w:after="200"/>
      </w:pPr>
      <w:r>
        <w:rPr>
          <w:rFonts w:ascii="Calibri" w:cs="Calibri" w:eastAsia="Calibri" w:hAnsi="Calibri"/>
          <w:b/>
          <w:bCs/>
          <w:color w:val="0E6B3A"/>
          <w:sz w:val="30"/>
          <w:szCs w:val="30"/>
        </w:rPr>
        <w:t xml:space="preserve">El Desafio</w:t>
      </w:r>
    </w:p>
    <w:p>
      <w:pPr>
        <w:spacing w:after="120" w:before="0" w:line="300"/>
        <w:jc w:val="both"/>
      </w:pPr>
      <w:r>
        <w:rPr>
          <w:rFonts w:ascii="Calibri" w:cs="Calibri" w:eastAsia="Calibri" w:hAnsi="Calibri"/>
          <w:b w:val="false"/>
          <w:bCs w:val="false"/>
          <w:i w:val="false"/>
          <w:iCs w:val="false"/>
          <w:color w:val="1E293B"/>
          <w:sz w:val="21"/>
          <w:szCs w:val="21"/>
        </w:rPr>
        <w:t xml:space="preserve">Antes de la implementacion de SIG 360°, Tours Panasur enfrentaba las siguientes brechas criticas:</w:t>
      </w:r>
    </w:p>
    <w:p>
      <w:pPr>
        <w:spacing w:before="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C1D9CE" w:sz="1"/>
              <w:left w:val="single" w:color="C1D9CE" w:sz="1"/>
              <w:bottom w:val="single" w:color="C1D9CE" w:sz="1"/>
              <w:right w:val="single" w:color="C1D9CE" w:sz="1"/>
            </w:tcBorders>
            <w:shd w:fill="FEE2E2" w:val="clear"/>
            <w:tcMar>
              <w:top w:type="dxa" w:w="60"/>
              <w:left w:type="dxa" w:w="100"/>
              <w:bottom w:type="dxa" w:w="60"/>
              <w:right w:type="dxa" w:w="100"/>
            </w:tcMar>
          </w:tcPr>
          <w:p>
            <w:pPr>
              <w:spacing w:after="0"/>
              <w:jc w:val="center"/>
            </w:pPr>
            <w:r>
              <w:rPr>
                <w:rFonts w:ascii="Calibri" w:cs="Calibri" w:eastAsia="Calibri" w:hAnsi="Calibri"/>
                <w:b/>
                <w:bCs/>
                <w:i w:val="false"/>
                <w:iCs w:val="false"/>
                <w:color w:val="DC2626"/>
                <w:sz w:val="16"/>
                <w:szCs w:val="16"/>
              </w:rPr>
              <w:t xml:space="preserve">ANTES (Situacion Inicial)</w:t>
            </w:r>
          </w:p>
        </w:tc>
        <w:tc>
          <w:tcPr>
            <w:tcW w:type="dxa" w:w="45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center"/>
            </w:pPr>
            <w:r>
              <w:rPr>
                <w:rFonts w:ascii="Calibri" w:cs="Calibri" w:eastAsia="Calibri" w:hAnsi="Calibri"/>
                <w:b/>
                <w:bCs/>
                <w:i w:val="false"/>
                <w:iCs w:val="false"/>
                <w:color w:val="047857"/>
                <w:sz w:val="16"/>
                <w:szCs w:val="16"/>
              </w:rPr>
              <w:t xml:space="preserve">DESPUES (Con SIG 360°)</w:t>
            </w:r>
          </w:p>
        </w:tc>
      </w:tr>
      <w:tr>
        <w:tc>
          <w:tcPr>
            <w:tcW w:type="dxa" w:w="4513"/>
            <w:gridSpan w:val="1"/>
            <w:tcBorders>
              <w:top w:val="single" w:color="C1D9CE" w:sz="1"/>
              <w:left w:val="single" w:color="C1D9CE" w:sz="1"/>
              <w:bottom w:val="single" w:color="C1D9CE" w:sz="1"/>
              <w:right w:val="single" w:color="C1D9CE" w:sz="1"/>
            </w:tcBorders>
            <w:shd w:fill="FEE2E2"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48% de cumplimiento ISO global</w:t>
            </w:r>
          </w:p>
        </w:tc>
        <w:tc>
          <w:tcPr>
            <w:tcW w:type="dxa" w:w="45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100% de cumplimiento (78 documentos codificados)</w:t>
            </w:r>
          </w:p>
        </w:tc>
      </w:tr>
      <w:tr>
        <w:tc>
          <w:tcPr>
            <w:tcW w:type="dxa" w:w="4513"/>
            <w:gridSpan w:val="1"/>
            <w:tcBorders>
              <w:top w:val="single" w:color="C1D9CE" w:sz="1"/>
              <w:left w:val="single" w:color="C1D9CE" w:sz="1"/>
              <w:bottom w:val="single" w:color="C1D9CE" w:sz="1"/>
              <w:right w:val="single" w:color="C1D9CE" w:sz="1"/>
            </w:tcBorders>
            <w:shd w:fill="FFF5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Documentacion fragmentada sin codificacion</w:t>
            </w:r>
          </w:p>
        </w:tc>
        <w:tc>
          <w:tcPr>
            <w:tcW w:type="dxa" w:w="4513"/>
            <w:gridSpan w:val="1"/>
            <w:tcBorders>
              <w:top w:val="single" w:color="C1D9CE" w:sz="1"/>
              <w:left w:val="single" w:color="C1D9CE" w:sz="1"/>
              <w:bottom w:val="single" w:color="C1D9CE" w:sz="1"/>
              <w:right w:val="single" w:color="C1D9CE" w:sz="1"/>
            </w:tcBorders>
            <w:shd w:fill="ECFD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Sistema TP-XXX-YYY-NNN con 4 niveles jerarquicos</w:t>
            </w:r>
          </w:p>
        </w:tc>
      </w:tr>
      <w:tr>
        <w:tc>
          <w:tcPr>
            <w:tcW w:type="dxa" w:w="4513"/>
            <w:gridSpan w:val="1"/>
            <w:tcBorders>
              <w:top w:val="single" w:color="C1D9CE" w:sz="1"/>
              <w:left w:val="single" w:color="C1D9CE" w:sz="1"/>
              <w:bottom w:val="single" w:color="C1D9CE" w:sz="1"/>
              <w:right w:val="single" w:color="C1D9CE" w:sz="1"/>
            </w:tcBorders>
            <w:shd w:fill="FEE2E2"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IPERC desactualizada y sin IPERC Continuo</w:t>
            </w:r>
          </w:p>
        </w:tc>
        <w:tc>
          <w:tcPr>
            <w:tcW w:type="dxa" w:w="45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6 IPERC criticos + procedimiento de IPERC Continuo</w:t>
            </w:r>
          </w:p>
        </w:tc>
      </w:tr>
      <w:tr>
        <w:tc>
          <w:tcPr>
            <w:tcW w:type="dxa" w:w="4513"/>
            <w:gridSpan w:val="1"/>
            <w:tcBorders>
              <w:top w:val="single" w:color="C1D9CE" w:sz="1"/>
              <w:left w:val="single" w:color="C1D9CE" w:sz="1"/>
              <w:bottom w:val="single" w:color="C1D9CE" w:sz="1"/>
              <w:right w:val="single" w:color="C1D9CE" w:sz="1"/>
            </w:tcBorders>
            <w:shd w:fill="FFF5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0 PETS formalizados para actividades core</w:t>
            </w:r>
          </w:p>
        </w:tc>
        <w:tc>
          <w:tcPr>
            <w:tcW w:type="dxa" w:w="4513"/>
            <w:gridSpan w:val="1"/>
            <w:tcBorders>
              <w:top w:val="single" w:color="C1D9CE" w:sz="1"/>
              <w:left w:val="single" w:color="C1D9CE" w:sz="1"/>
              <w:bottom w:val="single" w:color="C1D9CE" w:sz="1"/>
              <w:right w:val="single" w:color="C1D9CE" w:sz="1"/>
            </w:tcBorders>
            <w:shd w:fill="ECFD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15 PETS completos con riesgos y controles por paso</w:t>
            </w:r>
          </w:p>
        </w:tc>
      </w:tr>
      <w:tr>
        <w:tc>
          <w:tcPr>
            <w:tcW w:type="dxa" w:w="4513"/>
            <w:gridSpan w:val="1"/>
            <w:tcBorders>
              <w:top w:val="single" w:color="C1D9CE" w:sz="1"/>
              <w:left w:val="single" w:color="C1D9CE" w:sz="1"/>
              <w:bottom w:val="single" w:color="C1D9CE" w:sz="1"/>
              <w:right w:val="single" w:color="C1D9CE" w:sz="1"/>
            </w:tcBorders>
            <w:shd w:fill="FEE2E2"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Sin plataforma digital — todo en carpetas Drive</w:t>
            </w:r>
          </w:p>
        </w:tc>
        <w:tc>
          <w:tcPr>
            <w:tcW w:type="dxa" w:w="45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SIG 360° web con 30 modulos, dashboards, IA</w:t>
            </w:r>
          </w:p>
        </w:tc>
      </w:tr>
      <w:tr>
        <w:tc>
          <w:tcPr>
            <w:tcW w:type="dxa" w:w="4513"/>
            <w:gridSpan w:val="1"/>
            <w:tcBorders>
              <w:top w:val="single" w:color="C1D9CE" w:sz="1"/>
              <w:left w:val="single" w:color="C1D9CE" w:sz="1"/>
              <w:bottom w:val="single" w:color="C1D9CE" w:sz="1"/>
              <w:right w:val="single" w:color="C1D9CE" w:sz="1"/>
            </w:tcBorders>
            <w:shd w:fill="FFF5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Homologacion Engie sin preparar</w:t>
            </w:r>
          </w:p>
        </w:tc>
        <w:tc>
          <w:tcPr>
            <w:tcW w:type="dxa" w:w="4513"/>
            <w:gridSpan w:val="1"/>
            <w:tcBorders>
              <w:top w:val="single" w:color="C1D9CE" w:sz="1"/>
              <w:left w:val="single" w:color="C1D9CE" w:sz="1"/>
              <w:bottom w:val="single" w:color="C1D9CE" w:sz="1"/>
              <w:right w:val="single" w:color="C1D9CE" w:sz="1"/>
            </w:tcBorders>
            <w:shd w:fill="ECFD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Paquete HSEQ de 10 entregables listo para enviar</w:t>
            </w:r>
          </w:p>
        </w:tc>
      </w:tr>
      <w:tr>
        <w:tc>
          <w:tcPr>
            <w:tcW w:type="dxa" w:w="4513"/>
            <w:gridSpan w:val="1"/>
            <w:tcBorders>
              <w:top w:val="single" w:color="C1D9CE" w:sz="1"/>
              <w:left w:val="single" w:color="C1D9CE" w:sz="1"/>
              <w:bottom w:val="single" w:color="C1D9CE" w:sz="1"/>
              <w:right w:val="single" w:color="C1D9CE" w:sz="1"/>
            </w:tcBorders>
            <w:shd w:fill="FEE2E2"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Sin indicadores de gestion automatizados</w:t>
            </w:r>
          </w:p>
        </w:tc>
        <w:tc>
          <w:tcPr>
            <w:tcW w:type="dxa" w:w="45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Dashboard SST con IF/IS/IA automatico, 8 KPIs</w:t>
            </w:r>
          </w:p>
        </w:tc>
      </w:tr>
      <w:tr>
        <w:tc>
          <w:tcPr>
            <w:tcW w:type="dxa" w:w="4513"/>
            <w:gridSpan w:val="1"/>
            <w:tcBorders>
              <w:top w:val="single" w:color="C1D9CE" w:sz="1"/>
              <w:left w:val="single" w:color="C1D9CE" w:sz="1"/>
              <w:bottom w:val="single" w:color="C1D9CE" w:sz="1"/>
              <w:right w:val="single" w:color="C1D9CE" w:sz="1"/>
            </w:tcBorders>
            <w:shd w:fill="FFF5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Registros de capacitacion informales</w:t>
            </w:r>
          </w:p>
        </w:tc>
        <w:tc>
          <w:tcPr>
            <w:tcW w:type="dxa" w:w="4513"/>
            <w:gridSpan w:val="1"/>
            <w:tcBorders>
              <w:top w:val="single" w:color="C1D9CE" w:sz="1"/>
              <w:left w:val="single" w:color="C1D9CE" w:sz="1"/>
              <w:bottom w:val="single" w:color="C1D9CE" w:sz="1"/>
              <w:right w:val="single" w:color="C1D9CE" w:sz="1"/>
            </w:tcBorders>
            <w:shd w:fill="ECFD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Programa de 14 temas, 84h, cronograma mes a mes</w:t>
            </w:r>
          </w:p>
        </w:tc>
      </w:tr>
      <w:tr>
        <w:tc>
          <w:tcPr>
            <w:tcW w:type="dxa" w:w="4513"/>
            <w:gridSpan w:val="1"/>
            <w:tcBorders>
              <w:top w:val="single" w:color="C1D9CE" w:sz="1"/>
              <w:left w:val="single" w:color="C1D9CE" w:sz="1"/>
              <w:bottom w:val="single" w:color="C1D9CE" w:sz="1"/>
              <w:right w:val="single" w:color="C1D9CE" w:sz="1"/>
            </w:tcBorders>
            <w:shd w:fill="FEE2E2"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Sin auditorias internas</w:t>
            </w:r>
          </w:p>
        </w:tc>
        <w:tc>
          <w:tcPr>
            <w:tcW w:type="dxa" w:w="45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Programa de 6 auditorias (4 internas + 2 externas)</w:t>
            </w:r>
          </w:p>
        </w:tc>
      </w:tr>
      <w:tr>
        <w:tc>
          <w:tcPr>
            <w:tcW w:type="dxa" w:w="4513"/>
            <w:gridSpan w:val="1"/>
            <w:tcBorders>
              <w:top w:val="single" w:color="C1D9CE" w:sz="1"/>
              <w:left w:val="single" w:color="C1D9CE" w:sz="1"/>
              <w:bottom w:val="single" w:color="C1D9CE" w:sz="1"/>
              <w:right w:val="single" w:color="C1D9CE" w:sz="1"/>
            </w:tcBorders>
            <w:shd w:fill="FFF5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Control documental manual</w:t>
            </w:r>
          </w:p>
        </w:tc>
        <w:tc>
          <w:tcPr>
            <w:tcW w:type="dxa" w:w="4513"/>
            <w:gridSpan w:val="1"/>
            <w:tcBorders>
              <w:top w:val="single" w:color="C1D9CE" w:sz="1"/>
              <w:left w:val="single" w:color="C1D9CE" w:sz="1"/>
              <w:bottom w:val="single" w:color="C1D9CE" w:sz="1"/>
              <w:right w:val="single" w:color="C1D9CE" w:sz="1"/>
            </w:tcBorders>
            <w:shd w:fill="ECFDF5"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Lista Maestra digital con busqueda por codigo, norma, PHVA</w:t>
            </w:r>
          </w:p>
        </w:tc>
      </w:tr>
    </w:tbl>
    <w:p>
      <w:r>
        <w:br w:type="page"/>
      </w:r>
    </w:p>
    <w:p>
      <w:pPr>
        <w:pStyle w:val="Heading1"/>
        <w:spacing w:before="400" w:after="200"/>
      </w:pPr>
      <w:r>
        <w:rPr>
          <w:rFonts w:ascii="Calibri" w:cs="Calibri" w:eastAsia="Calibri" w:hAnsi="Calibri"/>
          <w:b/>
          <w:bCs/>
          <w:color w:val="0E6B3A"/>
          <w:sz w:val="30"/>
          <w:szCs w:val="30"/>
        </w:rPr>
        <w:t xml:space="preserve">La Solucion: SIG 360° Enterprise</w:t>
      </w:r>
    </w:p>
    <w:p>
      <w:pPr>
        <w:pStyle w:val="Heading2"/>
        <w:spacing w:before="300" w:after="160"/>
      </w:pPr>
      <w:r>
        <w:rPr>
          <w:rFonts w:ascii="Calibri" w:cs="Calibri" w:eastAsia="Calibri" w:hAnsi="Calibri"/>
          <w:b/>
          <w:bCs/>
          <w:color w:val="1a6b4e"/>
          <w:sz w:val="25"/>
          <w:szCs w:val="25"/>
        </w:rPr>
        <w:t xml:space="preserve">Fase 1: Estandar Documental (Semanas 1-2)</w:t>
      </w:r>
    </w:p>
    <w:p>
      <w:pPr>
        <w:spacing w:after="120" w:before="0" w:line="300"/>
        <w:jc w:val="both"/>
      </w:pPr>
      <w:r>
        <w:rPr>
          <w:rFonts w:ascii="Calibri" w:cs="Calibri" w:eastAsia="Calibri" w:hAnsi="Calibri"/>
          <w:b w:val="false"/>
          <w:bCs w:val="false"/>
          <w:i w:val="false"/>
          <w:iCs w:val="false"/>
          <w:color w:val="1E293B"/>
          <w:sz w:val="21"/>
          <w:szCs w:val="21"/>
        </w:rPr>
        <w:t xml:space="preserve">Se creo el procedimiento rector TP-PRO-SIG-001 (Informacion Documentada) que define el sistema de codificacion TP-XXX-YYY-NNN, la jerarquia de 4 niveles (Politicas/Manual, Procedimientos, Planes/Programas/Matrices/PETS, Formatos/Registros), la estructura estandar por tipo de documento, y la Lista Maestra completa con analisis de brechas de los 78 documentos requeridos.</w:t>
      </w:r>
    </w:p>
    <w:p>
      <w:pPr>
        <w:pStyle w:val="Heading2"/>
        <w:spacing w:before="300" w:after="160"/>
      </w:pPr>
      <w:r>
        <w:rPr>
          <w:rFonts w:ascii="Calibri" w:cs="Calibri" w:eastAsia="Calibri" w:hAnsi="Calibri"/>
          <w:b/>
          <w:bCs/>
          <w:color w:val="1a6b4e"/>
          <w:sz w:val="25"/>
          <w:szCs w:val="25"/>
        </w:rPr>
        <w:t xml:space="preserve">Fase 2: Procedimientos Nivel II (Semanas 3-4)</w:t>
      </w:r>
    </w:p>
    <w:p>
      <w:pPr>
        <w:spacing w:after="120" w:before="0" w:line="300"/>
        <w:jc w:val="both"/>
      </w:pPr>
      <w:r>
        <w:rPr>
          <w:rFonts w:ascii="Calibri" w:cs="Calibri" w:eastAsia="Calibri" w:hAnsi="Calibri"/>
          <w:b w:val="false"/>
          <w:bCs w:val="false"/>
          <w:i w:val="false"/>
          <w:iCs w:val="false"/>
          <w:color w:val="1E293B"/>
          <w:sz w:val="21"/>
          <w:szCs w:val="21"/>
        </w:rPr>
        <w:t xml:space="preserve">Se generaron 18 procedimientos cubriendo todas las clausulas criticas de ISO 9001, 14001 y 45001: informacion documentada, acciones correctivas, revision por la direccion, auditorias internas, gestion del cambio, IPERC, investigacion de incidentes, inspecciones, trabajos de alto riesgo, gestion de EPP, aspectos ambientales, residuos, emergencias ambientales, control de procesos, satisfaccion del cliente, proveedores, induccion de personal y mantenimiento de flota.</w:t>
      </w:r>
    </w:p>
    <w:p>
      <w:pPr>
        <w:pStyle w:val="Heading2"/>
        <w:spacing w:before="300" w:after="160"/>
      </w:pPr>
      <w:r>
        <w:rPr>
          <w:rFonts w:ascii="Calibri" w:cs="Calibri" w:eastAsia="Calibri" w:hAnsi="Calibri"/>
          <w:b/>
          <w:bCs/>
          <w:color w:val="1a6b4e"/>
          <w:sz w:val="25"/>
          <w:szCs w:val="25"/>
        </w:rPr>
        <w:t xml:space="preserve">Fase 3: Documentacion Operativa Nivel III (Semanas 5-6)</w:t>
      </w:r>
    </w:p>
    <w:p>
      <w:pPr>
        <w:spacing w:after="120" w:before="0" w:line="300"/>
        <w:jc w:val="both"/>
      </w:pPr>
      <w:r>
        <w:rPr>
          <w:rFonts w:ascii="Calibri" w:cs="Calibri" w:eastAsia="Calibri" w:hAnsi="Calibri"/>
          <w:b w:val="false"/>
          <w:bCs w:val="false"/>
          <w:i w:val="false"/>
          <w:iCs w:val="false"/>
          <w:color w:val="1E293B"/>
          <w:sz w:val="21"/>
          <w:szCs w:val="21"/>
        </w:rPr>
        <w:t xml:space="preserve">Se generaron 34 documentos operativos: 5 planes (SST anual, emergencias, seguridad de obra, transporte San Gabriel, SSOMA relaves), 5 programas (capacitaciones, inspecciones, salud ocupacional, simulacros, auditorias), 9 matrices (partes interesadas, riesgos/oportunidades, requisitos legales, comunicaciones, competencias, IPERC linea base, IPERC Cerro Verde, mapa de riesgos, IAIA) y 15 PETS para todas las actividades core (transporte de carga, relaves, excavacion, geomembrana, geotextil, concreto, compactacion, encofrado, check dams, drenes, QA/QC, movilizacion, cierre tecnico, mantenimiento).</w:t>
      </w:r>
    </w:p>
    <w:p>
      <w:pPr>
        <w:pStyle w:val="Heading2"/>
        <w:spacing w:before="300" w:after="160"/>
      </w:pPr>
      <w:r>
        <w:rPr>
          <w:rFonts w:ascii="Calibri" w:cs="Calibri" w:eastAsia="Calibri" w:hAnsi="Calibri"/>
          <w:b/>
          <w:bCs/>
          <w:color w:val="1a6b4e"/>
          <w:sz w:val="25"/>
          <w:szCs w:val="25"/>
        </w:rPr>
        <w:t xml:space="preserve">Fase 4: Formatos y Registros Nivel IV (Semana 7)</w:t>
      </w:r>
    </w:p>
    <w:p>
      <w:pPr>
        <w:spacing w:after="120" w:before="0" w:line="300"/>
        <w:jc w:val="both"/>
      </w:pPr>
      <w:r>
        <w:rPr>
          <w:rFonts w:ascii="Calibri" w:cs="Calibri" w:eastAsia="Calibri" w:hAnsi="Calibri"/>
          <w:b w:val="false"/>
          <w:bCs w:val="false"/>
          <w:i w:val="false"/>
          <w:iCs w:val="false"/>
          <w:color w:val="1E293B"/>
          <w:sz w:val="21"/>
          <w:szCs w:val="21"/>
        </w:rPr>
        <w:t xml:space="preserve">Se generaron 24 formatos imprimibles listos para campo: 4 formatos SIG (solicitud documental, accion correctiva con 5 Porques/Ishikawa, informe de auditoria, check-list por clausula), 10 formatos SST (check-list pre-uso vehiculos, reporte incidentes, investigacion accidentes, PETAR, ATS, entrega EPP, inspeccion seguridad, asistencia capacitacion, induccion, charla 5 minutos), 4 formatos ambientales/mantenimiento, 2 actas SST, 2 registros y 1 informe de revision por la direccion.</w:t>
      </w:r>
    </w:p>
    <w:p>
      <w:pPr>
        <w:pStyle w:val="Heading2"/>
        <w:spacing w:before="300" w:after="160"/>
      </w:pPr>
      <w:r>
        <w:rPr>
          <w:rFonts w:ascii="Calibri" w:cs="Calibri" w:eastAsia="Calibri" w:hAnsi="Calibri"/>
          <w:b/>
          <w:bCs/>
          <w:color w:val="1a6b4e"/>
          <w:sz w:val="25"/>
          <w:szCs w:val="25"/>
        </w:rPr>
        <w:t xml:space="preserve">Fase 5: Deploy Plataforma Digital (Semanas 8-9)</w:t>
      </w:r>
    </w:p>
    <w:p>
      <w:pPr>
        <w:spacing w:after="120" w:before="0" w:line="300"/>
        <w:jc w:val="both"/>
      </w:pPr>
      <w:r>
        <w:rPr>
          <w:rFonts w:ascii="Calibri" w:cs="Calibri" w:eastAsia="Calibri" w:hAnsi="Calibri"/>
          <w:b w:val="false"/>
          <w:bCs w:val="false"/>
          <w:i w:val="false"/>
          <w:iCs w:val="false"/>
          <w:color w:val="1E293B"/>
          <w:sz w:val="21"/>
          <w:szCs w:val="21"/>
        </w:rPr>
        <w:t xml:space="preserve">Se desplego SIG 360° en produccion (https://www.innovaqsolution.com/sig360-panasur/) con 30 modulos funcionales: Dashboard ejecutivo con 5 KPIs y 6 graficos, modulos ISO 9001 (control documental, NC, mapa de procesos, satisfaccion NPS, indicadores), modulos ISO 14001 (aspectos/impactos, huella de carbono Scope 1-3, residuos EO-RS, monitoreo vs ECA/LMP), modulos ISO 45001 (dashboard SST con IF/IS/IA automatico, IPERC Ley 29783, incidentes G.050, inspecciones, capacitaciones), diagramas interactivos (Bow-Tie, Ishikawa 6M, 5 Porques), exportacion real PDF/JPG/XLSX, y Auditor IA con 27 sectores. Ademas se genero el paquete de homologacion HSEQ con 10 entregables para Engie.</w:t>
      </w:r>
    </w:p>
    <w:p>
      <w:r>
        <w:br w:type="page"/>
      </w:r>
    </w:p>
    <w:p>
      <w:pPr>
        <w:pStyle w:val="Heading1"/>
        <w:spacing w:before="400" w:after="200"/>
      </w:pPr>
      <w:r>
        <w:rPr>
          <w:rFonts w:ascii="Calibri" w:cs="Calibri" w:eastAsia="Calibri" w:hAnsi="Calibri"/>
          <w:b/>
          <w:bCs/>
          <w:color w:val="0E6B3A"/>
          <w:sz w:val="30"/>
          <w:szCs w:val="30"/>
        </w:rPr>
        <w:t xml:space="preserve">Resultados Medibles</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13"/>
        <w:gridCol w:w="1800"/>
        <w:gridCol w:w="1713"/>
      </w:tblGrid>
      <w:tr>
        <w:tc>
          <w:tcPr>
            <w:tcW w:type="dxa" w:w="3500"/>
            <w:gridSpan w:val="1"/>
            <w:tcBorders>
              <w:top w:val="single" w:color="C1D9CE" w:sz="1"/>
              <w:left w:val="single" w:color="C1D9CE" w:sz="1"/>
              <w:bottom w:val="single" w:color="C1D9CE" w:sz="1"/>
              <w:right w:val="single" w:color="C1D9CE" w:sz="1"/>
            </w:tcBorders>
            <w:shd w:fill="0E6B3A" w:val="clear"/>
            <w:tcMar>
              <w:top w:type="dxa" w:w="60"/>
              <w:left w:type="dxa" w:w="100"/>
              <w:bottom w:type="dxa" w:w="60"/>
              <w:right w:type="dxa" w:w="100"/>
            </w:tcMar>
          </w:tcPr>
          <w:p>
            <w:pPr>
              <w:spacing w:after="0"/>
              <w:jc w:val="center"/>
            </w:pPr>
            <w:r>
              <w:rPr>
                <w:rFonts w:ascii="Calibri" w:cs="Calibri" w:eastAsia="Calibri" w:hAnsi="Calibri"/>
                <w:b/>
                <w:bCs/>
                <w:i w:val="false"/>
                <w:iCs w:val="false"/>
                <w:color w:val="FFFFFF"/>
                <w:sz w:val="16"/>
                <w:szCs w:val="16"/>
              </w:rPr>
              <w:t xml:space="preserve">Indicador</w:t>
            </w:r>
          </w:p>
        </w:tc>
        <w:tc>
          <w:tcPr>
            <w:tcW w:type="dxa" w:w="2013"/>
            <w:gridSpan w:val="1"/>
            <w:tcBorders>
              <w:top w:val="single" w:color="C1D9CE" w:sz="1"/>
              <w:left w:val="single" w:color="C1D9CE" w:sz="1"/>
              <w:bottom w:val="single" w:color="C1D9CE" w:sz="1"/>
              <w:right w:val="single" w:color="C1D9CE" w:sz="1"/>
            </w:tcBorders>
            <w:shd w:fill="0E6B3A" w:val="clear"/>
            <w:tcMar>
              <w:top w:type="dxa" w:w="60"/>
              <w:left w:type="dxa" w:w="100"/>
              <w:bottom w:type="dxa" w:w="60"/>
              <w:right w:type="dxa" w:w="100"/>
            </w:tcMar>
          </w:tcPr>
          <w:p>
            <w:pPr>
              <w:spacing w:after="0"/>
              <w:jc w:val="center"/>
            </w:pPr>
            <w:r>
              <w:rPr>
                <w:rFonts w:ascii="Calibri" w:cs="Calibri" w:eastAsia="Calibri" w:hAnsi="Calibri"/>
                <w:b/>
                <w:bCs/>
                <w:i w:val="false"/>
                <w:iCs w:val="false"/>
                <w:color w:val="FFFFFF"/>
                <w:sz w:val="16"/>
                <w:szCs w:val="16"/>
              </w:rPr>
              <w:t xml:space="preserve">Antes</w:t>
            </w:r>
          </w:p>
        </w:tc>
        <w:tc>
          <w:tcPr>
            <w:tcW w:type="dxa" w:w="1800"/>
            <w:gridSpan w:val="1"/>
            <w:tcBorders>
              <w:top w:val="single" w:color="C1D9CE" w:sz="1"/>
              <w:left w:val="single" w:color="C1D9CE" w:sz="1"/>
              <w:bottom w:val="single" w:color="C1D9CE" w:sz="1"/>
              <w:right w:val="single" w:color="C1D9CE" w:sz="1"/>
            </w:tcBorders>
            <w:shd w:fill="0E6B3A" w:val="clear"/>
            <w:tcMar>
              <w:top w:type="dxa" w:w="60"/>
              <w:left w:type="dxa" w:w="100"/>
              <w:bottom w:type="dxa" w:w="60"/>
              <w:right w:type="dxa" w:w="100"/>
            </w:tcMar>
          </w:tcPr>
          <w:p>
            <w:pPr>
              <w:spacing w:after="0"/>
              <w:jc w:val="center"/>
            </w:pPr>
            <w:r>
              <w:rPr>
                <w:rFonts w:ascii="Calibri" w:cs="Calibri" w:eastAsia="Calibri" w:hAnsi="Calibri"/>
                <w:b/>
                <w:bCs/>
                <w:i w:val="false"/>
                <w:iCs w:val="false"/>
                <w:color w:val="FFFFFF"/>
                <w:sz w:val="16"/>
                <w:szCs w:val="16"/>
              </w:rPr>
              <w:t xml:space="preserve">Despues</w:t>
            </w:r>
          </w:p>
        </w:tc>
        <w:tc>
          <w:tcPr>
            <w:tcW w:type="dxa" w:w="1713"/>
            <w:gridSpan w:val="1"/>
            <w:tcBorders>
              <w:top w:val="single" w:color="C1D9CE" w:sz="1"/>
              <w:left w:val="single" w:color="C1D9CE" w:sz="1"/>
              <w:bottom w:val="single" w:color="C1D9CE" w:sz="1"/>
              <w:right w:val="single" w:color="C1D9CE" w:sz="1"/>
            </w:tcBorders>
            <w:shd w:fill="0E6B3A" w:val="clear"/>
            <w:tcMar>
              <w:top w:type="dxa" w:w="60"/>
              <w:left w:type="dxa" w:w="100"/>
              <w:bottom w:type="dxa" w:w="60"/>
              <w:right w:type="dxa" w:w="100"/>
            </w:tcMar>
          </w:tcPr>
          <w:p>
            <w:pPr>
              <w:spacing w:after="0"/>
              <w:jc w:val="center"/>
            </w:pPr>
            <w:r>
              <w:rPr>
                <w:rFonts w:ascii="Calibri" w:cs="Calibri" w:eastAsia="Calibri" w:hAnsi="Calibri"/>
                <w:b/>
                <w:bCs/>
                <w:i w:val="false"/>
                <w:iCs w:val="false"/>
                <w:color w:val="FFFFFF"/>
                <w:sz w:val="16"/>
                <w:szCs w:val="16"/>
              </w:rPr>
              <w:t xml:space="preserve">Mejora</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Cumplimiento ISO global</w:t>
            </w:r>
          </w:p>
        </w:tc>
        <w:tc>
          <w:tcPr>
            <w:tcW w:type="dxa" w:w="2013"/>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48%</w:t>
            </w:r>
          </w:p>
        </w:tc>
        <w:tc>
          <w:tcPr>
            <w:tcW w:type="dxa" w:w="18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100%</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+108%</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Documentos codificados del SIG</w:t>
            </w:r>
          </w:p>
        </w:tc>
        <w:tc>
          <w:tcPr>
            <w:tcW w:type="dxa" w:w="2013"/>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0</w:t>
            </w:r>
          </w:p>
        </w:tc>
        <w:tc>
          <w:tcPr>
            <w:tcW w:type="dxa" w:w="18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78</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78 nuevos</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Procedimientos formalizados</w:t>
            </w:r>
          </w:p>
        </w:tc>
        <w:tc>
          <w:tcPr>
            <w:tcW w:type="dxa" w:w="2013"/>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0</w:t>
            </w:r>
          </w:p>
        </w:tc>
        <w:tc>
          <w:tcPr>
            <w:tcW w:type="dxa" w:w="18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18</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18 nuevos</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PETS documentados</w:t>
            </w:r>
          </w:p>
        </w:tc>
        <w:tc>
          <w:tcPr>
            <w:tcW w:type="dxa" w:w="2013"/>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0</w:t>
            </w:r>
          </w:p>
        </w:tc>
        <w:tc>
          <w:tcPr>
            <w:tcW w:type="dxa" w:w="18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15</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15 nuevos</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Formatos listos para campo</w:t>
            </w:r>
          </w:p>
        </w:tc>
        <w:tc>
          <w:tcPr>
            <w:tcW w:type="dxa" w:w="2013"/>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3 informales</w:t>
            </w:r>
          </w:p>
        </w:tc>
        <w:tc>
          <w:tcPr>
            <w:tcW w:type="dxa" w:w="18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24 estandarizados</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21 nuevos</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Tiempo de acceso a documentacion</w:t>
            </w:r>
          </w:p>
        </w:tc>
        <w:tc>
          <w:tcPr>
            <w:tcW w:type="dxa" w:w="2013"/>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15-30 min (buscar en Drive)</w:t>
            </w:r>
          </w:p>
        </w:tc>
        <w:tc>
          <w:tcPr>
            <w:tcW w:type="dxa" w:w="18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Instantaneo (SIG 360)</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~95% reduccion</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Preparacion para homologacion Engie</w:t>
            </w:r>
          </w:p>
        </w:tc>
        <w:tc>
          <w:tcPr>
            <w:tcW w:type="dxa" w:w="2013"/>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No preparado</w:t>
            </w:r>
          </w:p>
        </w:tc>
        <w:tc>
          <w:tcPr>
            <w:tcW w:type="dxa" w:w="18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10 entregables listos</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Listo para enviar</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Indicadores SST automatizados</w:t>
            </w:r>
          </w:p>
        </w:tc>
        <w:tc>
          <w:tcPr>
            <w:tcW w:type="dxa" w:w="2013"/>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Manual (Excel mensual)</w:t>
            </w:r>
          </w:p>
        </w:tc>
        <w:tc>
          <w:tcPr>
            <w:tcW w:type="dxa" w:w="18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Dashboard tiempo real</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Eliminacion de errores</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Dias de implementacion</w:t>
            </w:r>
          </w:p>
        </w:tc>
        <w:tc>
          <w:tcPr>
            <w:tcW w:type="dxa" w:w="2013"/>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w:t>
            </w:r>
          </w:p>
        </w:tc>
        <w:tc>
          <w:tcPr>
            <w:tcW w:type="dxa" w:w="18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63 dias (9 semanas)</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Inversion total del cliente</w:t>
            </w:r>
          </w:p>
        </w:tc>
        <w:tc>
          <w:tcPr>
            <w:tcW w:type="dxa" w:w="2013"/>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w:t>
            </w:r>
          </w:p>
        </w:tc>
        <w:tc>
          <w:tcPr>
            <w:tcW w:type="dxa" w:w="18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S/ 10,000</w:t>
            </w:r>
          </w:p>
        </w:tc>
        <w:tc>
          <w:tcPr>
            <w:tcW w:type="dxa" w:w="1713"/>
            <w:gridSpan w:val="1"/>
            <w:tcBorders>
              <w:top w:val="single" w:color="C1D9CE" w:sz="1"/>
              <w:left w:val="single" w:color="C1D9CE" w:sz="1"/>
              <w:bottom w:val="single" w:color="C1D9CE" w:sz="1"/>
              <w:right w:val="single" w:color="C1D9CE" w:sz="1"/>
            </w:tcBorders>
            <w:shd w:fill="D1FAE5" w:val="clear"/>
            <w:tcMar>
              <w:top w:type="dxa" w:w="60"/>
              <w:left w:type="dxa" w:w="100"/>
              <w:bottom w:type="dxa" w:w="60"/>
              <w:right w:type="dxa" w:w="100"/>
            </w:tcMar>
          </w:tcPr>
          <w:p>
            <w:pPr>
              <w:spacing w:after="0"/>
              <w:jc w:val="left"/>
            </w:pPr>
            <w:r>
              <w:rPr>
                <w:rFonts w:ascii="Calibri" w:cs="Calibri" w:eastAsia="Calibri" w:hAnsi="Calibri"/>
                <w:b/>
                <w:bCs/>
                <w:i w:val="false"/>
                <w:iCs w:val="false"/>
                <w:color w:val="047857"/>
                <w:sz w:val="16"/>
                <w:szCs w:val="16"/>
              </w:rPr>
              <w:t xml:space="preserve">ROI inmediato vs multas</w:t>
            </w:r>
          </w:p>
        </w:tc>
      </w:tr>
    </w:tbl>
    <w:p>
      <w:pPr>
        <w:spacing w:before="100" w:after="0"/>
      </w:pPr>
    </w:p>
    <w:p>
      <w:pPr>
        <w:pBdr>
          <w:left w:val="single" w:color="D4A843" w:sz="12" w:space="12"/>
        </w:pBdr>
        <w:shd w:fill="FFFBEB" w:val="clear"/>
        <w:spacing w:before="120" w:after="120"/>
      </w:pPr>
      <w:r>
        <w:rPr>
          <w:rFonts w:ascii="Calibri" w:cs="Calibri" w:eastAsia="Calibri" w:hAnsi="Calibri"/>
          <w:i/>
          <w:iCs/>
          <w:color w:val="1E293B"/>
          <w:sz w:val="22"/>
          <w:szCs w:val="22"/>
        </w:rPr>
        <w:t xml:space="preserve">"Con SIG 360° pudimos organizar toda nuestra documentacion en semanas, algo que nos habria tomado meses de trabajo interno. Ahora tenemos un sistema profesional que nos permite competir en homologaciones con las grandes empresas del sector."</w:t>
      </w:r>
    </w:p>
    <w:p>
      <w:pPr>
        <w:spacing w:after="40"/>
        <w:jc w:val="right"/>
      </w:pPr>
      <w:r>
        <w:rPr>
          <w:rFonts w:ascii="Calibri" w:cs="Calibri" w:eastAsia="Calibri" w:hAnsi="Calibri"/>
          <w:b/>
          <w:bCs/>
          <w:color w:val="64748B"/>
          <w:sz w:val="18"/>
          <w:szCs w:val="18"/>
        </w:rPr>
        <w:t xml:space="preserve">— Timoteo Huamani, Gerente General, Tours Panasur E.I.R.L.</w:t>
      </w:r>
    </w:p>
    <w:p>
      <w:r>
        <w:br w:type="page"/>
      </w:r>
    </w:p>
    <w:p>
      <w:pPr>
        <w:pStyle w:val="Heading1"/>
        <w:spacing w:before="400" w:after="200"/>
      </w:pPr>
      <w:r>
        <w:rPr>
          <w:rFonts w:ascii="Calibri" w:cs="Calibri" w:eastAsia="Calibri" w:hAnsi="Calibri"/>
          <w:b/>
          <w:bCs/>
          <w:color w:val="0E6B3A"/>
          <w:sz w:val="30"/>
          <w:szCs w:val="30"/>
        </w:rPr>
        <w:t xml:space="preserve">Sobre SIG 360° Enterprise</w:t>
      </w:r>
    </w:p>
    <w:p>
      <w:pPr>
        <w:spacing w:after="120" w:before="0" w:line="300"/>
        <w:jc w:val="both"/>
      </w:pPr>
      <w:r>
        <w:rPr>
          <w:rFonts w:ascii="Calibri" w:cs="Calibri" w:eastAsia="Calibri" w:hAnsi="Calibri"/>
          <w:b w:val="false"/>
          <w:bCs w:val="false"/>
          <w:i w:val="false"/>
          <w:iCs w:val="false"/>
          <w:color w:val="1E293B"/>
          <w:sz w:val="21"/>
          <w:szCs w:val="21"/>
        </w:rPr>
        <w:t xml:space="preserve">SIG 360° es la plataforma de INNOVAQ SOLUTIONS para la gestion integrada de sistemas ISO en empresas del sector minero, construccion, transporte y energia. Combina documentacion automatizada, dashboards en tiempo real, herramientas de analisis de causa raiz (Bow-Tie, Ishikawa, 5 Porques) e inteligencia artificial para auditorias, en una solucion web accesible desde cualquier dispositivo.</w:t>
      </w:r>
    </w:p>
    <w:p>
      <w:pPr>
        <w:spacing w:before="40" w:after="0"/>
      </w:pPr>
    </w:p>
    <w:p>
      <w:pPr>
        <w:pStyle w:val="Heading2"/>
        <w:spacing w:before="300" w:after="160"/>
      </w:pPr>
      <w:r>
        <w:rPr>
          <w:rFonts w:ascii="Calibri" w:cs="Calibri" w:eastAsia="Calibri" w:hAnsi="Calibri"/>
          <w:b/>
          <w:bCs/>
          <w:color w:val="1a6b4e"/>
          <w:sz w:val="25"/>
          <w:szCs w:val="25"/>
        </w:rPr>
        <w:t xml:space="preserve">Modulos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C1D9CE" w:sz="1"/>
              <w:left w:val="single" w:color="C1D9CE" w:sz="1"/>
              <w:bottom w:val="single" w:color="C1D9CE" w:sz="1"/>
              <w:right w:val="single" w:color="C1D9CE" w:sz="1"/>
            </w:tcBorders>
            <w:shd w:fill="0E6B3A" w:val="clear"/>
            <w:tcMar>
              <w:top w:type="dxa" w:w="60"/>
              <w:left w:type="dxa" w:w="100"/>
              <w:bottom w:type="dxa" w:w="60"/>
              <w:right w:type="dxa" w:w="100"/>
            </w:tcMar>
          </w:tcPr>
          <w:p>
            <w:pPr>
              <w:spacing w:after="0"/>
              <w:jc w:val="left"/>
            </w:pPr>
            <w:r>
              <w:rPr>
                <w:rFonts w:ascii="Calibri" w:cs="Calibri" w:eastAsia="Calibri" w:hAnsi="Calibri"/>
                <w:b/>
                <w:bCs/>
                <w:i w:val="false"/>
                <w:iCs w:val="false"/>
                <w:color w:val="FFFFFF"/>
                <w:sz w:val="16"/>
                <w:szCs w:val="16"/>
              </w:rPr>
              <w:t xml:space="preserve">Modulo</w:t>
            </w:r>
          </w:p>
        </w:tc>
        <w:tc>
          <w:tcPr>
            <w:tcW w:type="dxa" w:w="6526"/>
            <w:gridSpan w:val="1"/>
            <w:tcBorders>
              <w:top w:val="single" w:color="C1D9CE" w:sz="1"/>
              <w:left w:val="single" w:color="C1D9CE" w:sz="1"/>
              <w:bottom w:val="single" w:color="C1D9CE" w:sz="1"/>
              <w:right w:val="single" w:color="C1D9CE" w:sz="1"/>
            </w:tcBorders>
            <w:shd w:fill="0E6B3A" w:val="clear"/>
            <w:tcMar>
              <w:top w:type="dxa" w:w="60"/>
              <w:left w:type="dxa" w:w="100"/>
              <w:bottom w:type="dxa" w:w="60"/>
              <w:right w:type="dxa" w:w="100"/>
            </w:tcMar>
          </w:tcPr>
          <w:p>
            <w:pPr>
              <w:spacing w:after="0"/>
              <w:jc w:val="left"/>
            </w:pPr>
            <w:r>
              <w:rPr>
                <w:rFonts w:ascii="Calibri" w:cs="Calibri" w:eastAsia="Calibri" w:hAnsi="Calibri"/>
                <w:b/>
                <w:bCs/>
                <w:i w:val="false"/>
                <w:iCs w:val="false"/>
                <w:color w:val="FFFFFF"/>
                <w:sz w:val="16"/>
                <w:szCs w:val="16"/>
              </w:rPr>
              <w:t xml:space="preserve">Funcionalidades</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bCs/>
                <w:i w:val="false"/>
                <w:iCs w:val="false"/>
                <w:color w:val="1E293B"/>
                <w:sz w:val="16"/>
                <w:szCs w:val="16"/>
              </w:rPr>
              <w:t xml:space="preserve">ISO 9001:2015 — Calidad</w:t>
            </w:r>
          </w:p>
        </w:tc>
        <w:tc>
          <w:tcPr>
            <w:tcW w:type="dxa" w:w="6526"/>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Control documental, no conformidades, mapa de procesos (Diagrama Tortuga), satisfaccion NPS, indicadores de gestion</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bCs/>
                <w:i w:val="false"/>
                <w:iCs w:val="false"/>
                <w:color w:val="1E293B"/>
                <w:sz w:val="16"/>
                <w:szCs w:val="16"/>
              </w:rPr>
              <w:t xml:space="preserve">ISO 14001:2015 — Ambiental</w:t>
            </w:r>
          </w:p>
        </w:tc>
        <w:tc>
          <w:tcPr>
            <w:tcW w:type="dxa" w:w="6526"/>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Aspectos e impactos, huella de carbono Scope 1-2-3, residuos EO-RS con manifiestos, monitoreo vs ECA/LMP</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bCs/>
                <w:i w:val="false"/>
                <w:iCs w:val="false"/>
                <w:color w:val="1E293B"/>
                <w:sz w:val="16"/>
                <w:szCs w:val="16"/>
              </w:rPr>
              <w:t xml:space="preserve">ISO 45001:2018 — SST</w:t>
            </w:r>
          </w:p>
        </w:tc>
        <w:tc>
          <w:tcPr>
            <w:tcW w:type="dxa" w:w="6526"/>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Dashboard SST (IF/IS/IA automatico), IPERC Ley 29783, incidentes G.050, inspecciones, capacitaciones, mapa de riesgos</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bCs/>
                <w:i w:val="false"/>
                <w:iCs w:val="false"/>
                <w:color w:val="1E293B"/>
                <w:sz w:val="16"/>
                <w:szCs w:val="16"/>
              </w:rPr>
              <w:t xml:space="preserve">Herramientas de Analisis</w:t>
            </w:r>
          </w:p>
        </w:tc>
        <w:tc>
          <w:tcPr>
            <w:tcW w:type="dxa" w:w="6526"/>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Diagrama Bow-Tie interactivo, Ishikawa 6M, 5 Porques paso a paso</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bCs/>
                <w:i w:val="false"/>
                <w:iCs w:val="false"/>
                <w:color w:val="1E293B"/>
                <w:sz w:val="16"/>
                <w:szCs w:val="16"/>
              </w:rPr>
              <w:t xml:space="preserve">Auditorias</w:t>
            </w:r>
          </w:p>
        </w:tc>
        <w:tc>
          <w:tcPr>
            <w:tcW w:type="dxa" w:w="6526"/>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Programa anual, check-lists por clausula, informe conforme ISO 19011, Auditor IA (27 sectores)</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bCs/>
                <w:i w:val="false"/>
                <w:iCs w:val="false"/>
                <w:color w:val="1E293B"/>
                <w:sz w:val="16"/>
                <w:szCs w:val="16"/>
              </w:rPr>
              <w:t xml:space="preserve">Documentacion</w:t>
            </w:r>
          </w:p>
        </w:tc>
        <w:tc>
          <w:tcPr>
            <w:tcW w:type="dxa" w:w="6526"/>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Lista Maestra inteligente, plantillas HLS Annex SL (84 documentos), biblioteca PDCA, exportacion PDF/JPG/XLSX</w:t>
            </w:r>
          </w:p>
        </w:tc>
      </w:tr>
    </w:tbl>
    <w:p>
      <w:pPr>
        <w:spacing w:before="60" w:after="0"/>
      </w:pPr>
    </w:p>
    <w:p>
      <w:pPr>
        <w:pStyle w:val="Heading2"/>
        <w:spacing w:before="300" w:after="160"/>
      </w:pPr>
      <w:r>
        <w:rPr>
          <w:rFonts w:ascii="Calibri" w:cs="Calibri" w:eastAsia="Calibri" w:hAnsi="Calibri"/>
          <w:b/>
          <w:bCs/>
          <w:color w:val="1a6b4e"/>
          <w:sz w:val="25"/>
          <w:szCs w:val="25"/>
        </w:rPr>
        <w:t xml:space="preserve">Sectores Atendidos</w:t>
      </w:r>
    </w:p>
    <w:p>
      <w:pPr>
        <w:spacing w:after="120" w:before="0" w:line="300"/>
        <w:jc w:val="both"/>
      </w:pPr>
      <w:r>
        <w:rPr>
          <w:rFonts w:ascii="Calibri" w:cs="Calibri" w:eastAsia="Calibri" w:hAnsi="Calibri"/>
          <w:b w:val="false"/>
          <w:bCs w:val="false"/>
          <w:i w:val="false"/>
          <w:iCs w:val="false"/>
          <w:color w:val="1E293B"/>
          <w:sz w:val="21"/>
          <w:szCs w:val="21"/>
        </w:rPr>
        <w:t xml:space="preserve">Mineria y energia (Buenaventura, Cerro Verde, Engie), Transporte de carga (Tours Panasur), Construccion civil (G.050), Agroindustria (AGRO360), Hoteleria (HOTEL360), Alimentos (FOOD360), Salud (SALUD360). 13 productos verticales B2B SaaS disponibles.</w:t>
      </w:r>
    </w:p>
    <w:p>
      <w:pPr>
        <w:spacing w:before="60" w:after="0"/>
      </w:pPr>
    </w:p>
    <w:p>
      <w:pPr>
        <w:pStyle w:val="Heading2"/>
        <w:spacing w:before="300" w:after="160"/>
      </w:pPr>
      <w:r>
        <w:rPr>
          <w:rFonts w:ascii="Calibri" w:cs="Calibri" w:eastAsia="Calibri" w:hAnsi="Calibri"/>
          <w:b/>
          <w:bCs/>
          <w:color w:val="1a6b4e"/>
          <w:sz w:val="25"/>
          <w:szCs w:val="25"/>
        </w:rPr>
        <w:t xml:space="preserve">Modelo de Implementacion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2013"/>
        <w:gridCol w:w="2000"/>
      </w:tblGrid>
      <w:tr>
        <w:tc>
          <w:tcPr>
            <w:tcW w:type="dxa" w:w="20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STARTER</w:t>
            </w:r>
          </w:p>
        </w:tc>
        <w:tc>
          <w:tcPr>
            <w:tcW w:type="dxa" w:w="3013"/>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1 norma ISO + 30 documentos + plataforma basica</w:t>
            </w:r>
          </w:p>
        </w:tc>
        <w:tc>
          <w:tcPr>
            <w:tcW w:type="dxa" w:w="2013"/>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center"/>
            </w:pPr>
            <w:r>
              <w:rPr>
                <w:rFonts w:ascii="Calibri" w:cs="Calibri" w:eastAsia="Calibri" w:hAnsi="Calibri"/>
                <w:b w:val="false"/>
                <w:bCs w:val="false"/>
                <w:i w:val="false"/>
                <w:iCs w:val="false"/>
                <w:color w:val="1E293B"/>
                <w:sz w:val="16"/>
                <w:szCs w:val="16"/>
              </w:rPr>
              <w:t xml:space="preserve">4-6 semanas</w:t>
            </w:r>
          </w:p>
        </w:tc>
        <w:tc>
          <w:tcPr>
            <w:tcW w:type="dxa" w:w="20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center"/>
            </w:pPr>
            <w:r>
              <w:rPr>
                <w:rFonts w:ascii="Calibri" w:cs="Calibri" w:eastAsia="Calibri" w:hAnsi="Calibri"/>
                <w:b w:val="false"/>
                <w:bCs w:val="false"/>
                <w:i w:val="false"/>
                <w:iCs w:val="false"/>
                <w:color w:val="1E293B"/>
                <w:sz w:val="16"/>
                <w:szCs w:val="16"/>
              </w:rPr>
              <w:t xml:space="preserve">Desde S/ 5,000</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ENTERPRISE</w:t>
            </w:r>
          </w:p>
        </w:tc>
        <w:tc>
          <w:tcPr>
            <w:tcW w:type="dxa" w:w="3013"/>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3 normas ISO + 78 documentos + plataforma completa + homologacion</w:t>
            </w:r>
          </w:p>
        </w:tc>
        <w:tc>
          <w:tcPr>
            <w:tcW w:type="dxa" w:w="2013"/>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center"/>
            </w:pPr>
            <w:r>
              <w:rPr>
                <w:rFonts w:ascii="Calibri" w:cs="Calibri" w:eastAsia="Calibri" w:hAnsi="Calibri"/>
                <w:b w:val="false"/>
                <w:bCs w:val="false"/>
                <w:i w:val="false"/>
                <w:iCs w:val="false"/>
                <w:color w:val="1E293B"/>
                <w:sz w:val="16"/>
                <w:szCs w:val="16"/>
              </w:rPr>
              <w:t xml:space="preserve">8-12 semanas</w:t>
            </w:r>
          </w:p>
        </w:tc>
        <w:tc>
          <w:tcPr>
            <w:tcW w:type="dxa" w:w="2000"/>
            <w:gridSpan w:val="1"/>
            <w:tcBorders>
              <w:top w:val="single" w:color="C1D9CE" w:sz="1"/>
              <w:left w:val="single" w:color="C1D9CE" w:sz="1"/>
              <w:bottom w:val="single" w:color="C1D9CE" w:sz="1"/>
              <w:right w:val="single" w:color="C1D9CE" w:sz="1"/>
            </w:tcBorders>
            <w:shd w:fill="FFFFFF" w:val="clear"/>
            <w:tcMar>
              <w:top w:type="dxa" w:w="60"/>
              <w:left w:type="dxa" w:w="100"/>
              <w:bottom w:type="dxa" w:w="60"/>
              <w:right w:type="dxa" w:w="100"/>
            </w:tcMar>
          </w:tcPr>
          <w:p>
            <w:pPr>
              <w:spacing w:after="0"/>
              <w:jc w:val="center"/>
            </w:pPr>
            <w:r>
              <w:rPr>
                <w:rFonts w:ascii="Calibri" w:cs="Calibri" w:eastAsia="Calibri" w:hAnsi="Calibri"/>
                <w:b w:val="false"/>
                <w:bCs w:val="false"/>
                <w:i w:val="false"/>
                <w:iCs w:val="false"/>
                <w:color w:val="1E293B"/>
                <w:sz w:val="16"/>
                <w:szCs w:val="16"/>
              </w:rPr>
              <w:t xml:space="preserve">Desde S/ 10,000</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CORPORATIVO</w:t>
            </w:r>
          </w:p>
        </w:tc>
        <w:tc>
          <w:tcPr>
            <w:tcW w:type="dxa" w:w="3013"/>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Multi-sede + multi-norma + integracion ERP + soporte 24/7</w:t>
            </w:r>
          </w:p>
        </w:tc>
        <w:tc>
          <w:tcPr>
            <w:tcW w:type="dxa" w:w="2013"/>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center"/>
            </w:pPr>
            <w:r>
              <w:rPr>
                <w:rFonts w:ascii="Calibri" w:cs="Calibri" w:eastAsia="Calibri" w:hAnsi="Calibri"/>
                <w:b w:val="false"/>
                <w:bCs w:val="false"/>
                <w:i w:val="false"/>
                <w:iCs w:val="false"/>
                <w:color w:val="1E293B"/>
                <w:sz w:val="16"/>
                <w:szCs w:val="16"/>
              </w:rPr>
              <w:t xml:space="preserve">12-16 semanas</w:t>
            </w:r>
          </w:p>
        </w:tc>
        <w:tc>
          <w:tcPr>
            <w:tcW w:type="dxa" w:w="2000"/>
            <w:gridSpan w:val="1"/>
            <w:tcBorders>
              <w:top w:val="single" w:color="C1D9CE" w:sz="1"/>
              <w:left w:val="single" w:color="C1D9CE" w:sz="1"/>
              <w:bottom w:val="single" w:color="C1D9CE" w:sz="1"/>
              <w:right w:val="single" w:color="C1D9CE" w:sz="1"/>
            </w:tcBorders>
            <w:shd w:fill="F5FAF7" w:val="clear"/>
            <w:tcMar>
              <w:top w:type="dxa" w:w="60"/>
              <w:left w:type="dxa" w:w="100"/>
              <w:bottom w:type="dxa" w:w="60"/>
              <w:right w:type="dxa" w:w="100"/>
            </w:tcMar>
          </w:tcPr>
          <w:p>
            <w:pPr>
              <w:spacing w:after="0"/>
              <w:jc w:val="center"/>
            </w:pPr>
            <w:r>
              <w:rPr>
                <w:rFonts w:ascii="Calibri" w:cs="Calibri" w:eastAsia="Calibri" w:hAnsi="Calibri"/>
                <w:b w:val="false"/>
                <w:bCs w:val="false"/>
                <w:i w:val="false"/>
                <w:iCs w:val="false"/>
                <w:color w:val="1E293B"/>
                <w:sz w:val="16"/>
                <w:szCs w:val="16"/>
              </w:rPr>
              <w:t xml:space="preserve">Cotizacion a medida</w:t>
            </w:r>
          </w:p>
        </w:tc>
      </w:tr>
    </w:tbl>
    <w:p>
      <w:r>
        <w:br w:type="page"/>
      </w:r>
    </w:p>
    <w:p>
      <w:pPr>
        <w:pStyle w:val="Heading1"/>
        <w:spacing w:before="400" w:after="200"/>
      </w:pPr>
      <w:r>
        <w:rPr>
          <w:rFonts w:ascii="Calibri" w:cs="Calibri" w:eastAsia="Calibri" w:hAnsi="Calibri"/>
          <w:b/>
          <w:bCs/>
          <w:color w:val="0E6B3A"/>
          <w:sz w:val="30"/>
          <w:szCs w:val="30"/>
        </w:rPr>
        <w:t xml:space="preserve">Siguiente Paso</w:t>
      </w:r>
    </w:p>
    <w:p>
      <w:pPr>
        <w:spacing w:before="40" w:after="0"/>
      </w:pPr>
    </w:p>
    <w:p>
      <w:pPr>
        <w:spacing w:after="120" w:before="0" w:line="300"/>
        <w:jc w:val="both"/>
      </w:pPr>
      <w:r>
        <w:rPr>
          <w:rFonts w:ascii="Calibri" w:cs="Calibri" w:eastAsia="Calibri" w:hAnsi="Calibri"/>
          <w:b w:val="false"/>
          <w:bCs w:val="false"/>
          <w:i w:val="false"/>
          <w:iCs w:val="false"/>
          <w:color w:val="1E293B"/>
          <w:sz w:val="21"/>
          <w:szCs w:val="21"/>
        </w:rPr>
        <w:t xml:space="preserve">Si su empresa necesita estructurar, digitalizar o preparar su Sistema Integrado de Gestion para una homologacion, certificacion o fiscalizacion, SIG 360° puede ayudarle a alcanzar el 100% de cumplimiento en semanas, no meses.</w:t>
      </w:r>
    </w:p>
    <w:p>
      <w:pPr>
        <w:spacing w:before="40" w:after="0"/>
      </w:pPr>
    </w:p>
    <w:p>
      <w:pPr>
        <w:spacing w:after="120" w:before="0" w:line="300"/>
        <w:jc w:val="both"/>
      </w:pPr>
      <w:r>
        <w:rPr>
          <w:rFonts w:ascii="Calibri" w:cs="Calibri" w:eastAsia="Calibri" w:hAnsi="Calibri"/>
          <w:b/>
          <w:bCs/>
          <w:i w:val="false"/>
          <w:iCs w:val="false"/>
          <w:color w:val="0E6B3A"/>
          <w:sz w:val="22"/>
          <w:szCs w:val="22"/>
        </w:rPr>
        <w:t xml:space="preserve">Solicite una demo personalizada:</w:t>
      </w:r>
    </w:p>
    <w:p>
      <w:pPr>
        <w:spacing w:before="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gridSpan w:val="1"/>
            <w:tcBorders>
              <w:top w:val="single" w:color="C1D9CE" w:sz="1"/>
              <w:left w:val="single" w:color="C1D9CE" w:sz="1"/>
              <w:bottom w:val="single" w:color="C1D9CE" w:sz="1"/>
              <w:right w:val="single" w:color="C1D9CE" w:sz="1"/>
            </w:tcBorders>
            <w:shd w:fill="F0F7F4"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Alvaro Ruiz Reyna
Fundador &amp; Lead Auditor ISO
INNOVAQ SOLUTIONS SAC
CIP 210152
Email: contacto@innovaqsolution.com
WhatsApp: +51 900 801 059
Telefono: +51 938 430 657</w:t>
            </w:r>
          </w:p>
        </w:tc>
        <w:tc>
          <w:tcPr>
            <w:tcW w:type="dxa" w:w="4513"/>
            <w:gridSpan w:val="1"/>
            <w:tcBorders>
              <w:top w:val="single" w:color="C1D9CE" w:sz="1"/>
              <w:left w:val="single" w:color="C1D9CE" w:sz="1"/>
              <w:bottom w:val="single" w:color="C1D9CE" w:sz="1"/>
              <w:right w:val="single" w:color="C1D9CE" w:sz="1"/>
            </w:tcBorders>
            <w:shd w:fill="F0F7F4" w:val="clear"/>
            <w:tcMar>
              <w:top w:type="dxa" w:w="60"/>
              <w:left w:type="dxa" w:w="100"/>
              <w:bottom w:type="dxa" w:w="60"/>
              <w:right w:type="dxa" w:w="100"/>
            </w:tcMar>
          </w:tcPr>
          <w:p>
            <w:pPr>
              <w:spacing w:after="0"/>
              <w:jc w:val="left"/>
            </w:pPr>
            <w:r>
              <w:rPr>
                <w:rFonts w:ascii="Calibri" w:cs="Calibri" w:eastAsia="Calibri" w:hAnsi="Calibri"/>
                <w:b w:val="false"/>
                <w:bCs w:val="false"/>
                <w:i w:val="false"/>
                <w:iCs w:val="false"/>
                <w:color w:val="1E293B"/>
                <w:sz w:val="16"/>
                <w:szCs w:val="16"/>
              </w:rPr>
              <w:t xml:space="preserve">Demo en vivo:
https://www.innovaqsolution.com/sig360/
Caso Tours Panasur:
https://www.innovaqsolution.com/sig360-panasur/
Web corporativa:
https://www.innovaqsolution.com</w:t>
            </w:r>
          </w:p>
        </w:tc>
      </w:tr>
    </w:tbl>
    <w:p>
      <w:pPr>
        <w:spacing w:before="200" w:after="0"/>
      </w:pPr>
    </w:p>
    <w:p>
      <w:pPr>
        <w:spacing w:after="120" w:before="0" w:line="300"/>
        <w:jc w:val="center"/>
      </w:pPr>
      <w:r>
        <w:rPr>
          <w:rFonts w:ascii="Calibri" w:cs="Calibri" w:eastAsia="Calibri" w:hAnsi="Calibri"/>
          <w:b w:val="false"/>
          <w:bCs w:val="false"/>
          <w:i w:val="false"/>
          <w:iCs w:val="false"/>
          <w:color w:val="64748B"/>
          <w:sz w:val="14"/>
          <w:szCs w:val="14"/>
        </w:rPr>
        <w:t xml:space="preserve">© 2026 INNOVAQ SOLUTIONS SAC — Todos los derechos reservados</w:t>
      </w:r>
    </w:p>
    <w:sectPr>
      <w:headerReference w:type="default" r:id="rId6"/>
      <w:footerReference w:type="default" r:id="rId7"/>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3"/>
      </w:pBdr>
      <w:tabs>
        <w:tab w:val="right" w:pos="9026"/>
      </w:tabs>
      <w:spacing w:after="0"/>
    </w:pPr>
    <w:r>
      <w:rPr>
        <w:rFonts w:ascii="Calibri" w:cs="Calibri" w:eastAsia="Calibri" w:hAnsi="Calibri"/>
        <w:color w:val="64748B"/>
        <w:sz w:val="11"/>
        <w:szCs w:val="11"/>
      </w:rPr>
      <w:t xml:space="preserve">contacto@innovaqsolution.com | +51 938 430 657</w:t>
    </w:r>
    <w:r>
      <w:t xml:space="preserve">	Pag </w:t>
    </w:r>
    <w:r>
      <w:rPr>
        <w:rFonts w:ascii="Calibri" w:cs="Calibri" w:eastAsia="Calibri" w:hAnsi="Calibri"/>
        <w:color w:val="64748B"/>
        <w:sz w:val="11"/>
        <w:szCs w:val="11"/>
      </w:rPr>
      <w:fldChar w:fldCharType="begin"/>
      <w:instrText xml:space="preserve">PAGE</w:instrText>
      <w:fldChar w:fldCharType="separate"/>
      <w:fldChar w:fldCharType="end"/>
    </w:r>
    <w:r>
      <w:t xml:space="preserve">/</w:t>
    </w:r>
    <w:r>
      <w:rPr>
        <w:rFonts w:ascii="Calibri" w:cs="Calibri" w:eastAsia="Calibri" w:hAnsi="Calibri"/>
        <w:color w:val="64748B"/>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B3A" w:sz="2" w:space="4"/>
      </w:pBdr>
      <w:tabs>
        <w:tab w:val="right" w:pos="9026"/>
      </w:tabs>
      <w:spacing w:after="0"/>
    </w:pPr>
    <w:r>
      <w:rPr>
        <w:rFonts w:ascii="Calibri" w:cs="Calibri" w:eastAsia="Calibri" w:hAnsi="Calibri"/>
        <w:b/>
        <w:bCs/>
        <w:color w:val="0E6B3A"/>
        <w:sz w:val="13"/>
        <w:szCs w:val="13"/>
      </w:rPr>
      <w:t xml:space="preserve">INNOVAQ SOLUTIONS</w:t>
    </w:r>
    <w:r>
      <w:rPr>
        <w:rFonts w:ascii="Calibri" w:cs="Calibri" w:eastAsia="Calibri" w:hAnsi="Calibri"/>
        <w:color w:val="64748B"/>
        <w:sz w:val="11"/>
        <w:szCs w:val="11"/>
      </w:rPr>
      <w:t xml:space="preserve">	CASO DE EXITO — SIG 360° | TOURS PANASUR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E6B3A"/>
      <w:sz w:val="30"/>
      <w:szCs w:val="30"/>
    </w:rPr>
  </w:style>
  <w:style w:type="paragraph" w:styleId="Heading2">
    <w:name w:val="Heading 2"/>
    <w:basedOn w:val="Normal"/>
    <w:next w:val="Normal"/>
    <w:qFormat/>
    <w:pPr>
      <w:spacing w:before="300" w:after="160"/>
      <w:outlineLvl w:val="1"/>
    </w:pPr>
    <w:rPr>
      <w:rFonts w:ascii="Calibri" w:cs="Calibri" w:eastAsia="Calibri" w:hAnsi="Calibri"/>
      <w:b/>
      <w:bCs/>
      <w:color w:val="1a6b4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2026-03-08T22:59:03.315Z</dcterms:created>
  <dcterms:modified xsi:type="dcterms:W3CDTF">2026-03-08T22:59:03.316Z</dcterms:modified>
</cp:coreProperties>
</file>

<file path=docProps/custom.xml><?xml version="1.0" encoding="utf-8"?>
<Properties xmlns="http://schemas.openxmlformats.org/officeDocument/2006/custom-properties" xmlns:vt="http://schemas.openxmlformats.org/officeDocument/2006/docPropsVTypes"/>
</file>